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2E" w:rsidRPr="00FE592E" w:rsidRDefault="00FE592E" w:rsidP="00FE59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FE59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El informe anual de actividades del Instituto de Investigaciones y Capacitación Electoral</w:t>
      </w:r>
    </w:p>
    <w:p w:rsidR="00C2684D" w:rsidRPr="009F7C18" w:rsidRDefault="00C2684D" w:rsidP="00C26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 aplicó en los años 2015, 2016 y 2017</w:t>
      </w:r>
      <w:r w:rsidRPr="009F7C18">
        <w:rPr>
          <w:rFonts w:ascii="Arial" w:eastAsia="Times New Roman" w:hAnsi="Arial" w:cs="Arial"/>
          <w:sz w:val="24"/>
          <w:szCs w:val="24"/>
          <w:lang w:eastAsia="es-MX"/>
        </w:rPr>
        <w:t xml:space="preserve"> de conformidad a lo establecido por el artículo 4 del Reglamento Interior del Tribunal de lo Admini</w:t>
      </w:r>
      <w:r>
        <w:rPr>
          <w:rFonts w:ascii="Arial" w:eastAsia="Times New Roman" w:hAnsi="Arial" w:cs="Arial"/>
          <w:sz w:val="24"/>
          <w:szCs w:val="24"/>
          <w:lang w:eastAsia="es-MX"/>
        </w:rPr>
        <w:t>strativo del Estado de Jalisco; asimismo en el año 2018 no aplica de acuerdo a lo establecido por el artículo 3 de la Ley Orgánica del Tribunal de Justicia Administrativa del Estado de Jalisco</w:t>
      </w:r>
      <w:r w:rsidRPr="009F7C18">
        <w:rPr>
          <w:rFonts w:ascii="Arial" w:eastAsia="Times New Roman" w:hAnsi="Arial" w:cs="Arial"/>
          <w:sz w:val="24"/>
          <w:szCs w:val="24"/>
          <w:lang w:eastAsia="es-MX"/>
        </w:rPr>
        <w:t>. </w:t>
      </w:r>
    </w:p>
    <w:p w:rsidR="00C2684D" w:rsidRPr="009F7C18" w:rsidRDefault="00C2684D" w:rsidP="00C26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F7C18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A25EF6" w:rsidRDefault="00A25EF6">
      <w:bookmarkStart w:id="0" w:name="_GoBack"/>
      <w:bookmarkEnd w:id="0"/>
    </w:p>
    <w:sectPr w:rsidR="00A25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2E"/>
    <w:rsid w:val="00A25EF6"/>
    <w:rsid w:val="00C2684D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7F23B-3D5E-48E1-9EEF-DA0EC34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E5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592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E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2</cp:revision>
  <dcterms:created xsi:type="dcterms:W3CDTF">2018-03-21T17:30:00Z</dcterms:created>
  <dcterms:modified xsi:type="dcterms:W3CDTF">2018-03-21T17:30:00Z</dcterms:modified>
</cp:coreProperties>
</file>