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1887401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3E2448">
        <w:rPr>
          <w:rFonts w:ascii="Century Gothic" w:hAnsi="Century Gothic"/>
          <w:b/>
          <w:sz w:val="24"/>
          <w:szCs w:val="24"/>
        </w:rPr>
        <w:t>Quinta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E2448">
        <w:rPr>
          <w:rFonts w:ascii="Century Gothic" w:hAnsi="Century Gothic"/>
          <w:b/>
          <w:sz w:val="24"/>
          <w:szCs w:val="24"/>
        </w:rPr>
        <w:t>veinticuatro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E2448" w:rsidRPr="0052553A" w:rsidRDefault="003E2448" w:rsidP="003E244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E2448" w:rsidRDefault="003E2448" w:rsidP="003E244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E2448" w:rsidRPr="00982187" w:rsidRDefault="003E2448" w:rsidP="003E244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730/2020 y 5330/2020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Segundo y Séptimo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52/2020 y 45/2020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</w:t>
      </w:r>
      <w:r>
        <w:rPr>
          <w:rFonts w:ascii="Century Gothic" w:hAnsi="Century Gothic"/>
          <w:b w:val="0"/>
          <w:sz w:val="24"/>
          <w:szCs w:val="24"/>
        </w:rPr>
        <w:t>mediante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3E2448" w:rsidRDefault="003E2448" w:rsidP="003E244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1318/2019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52/2020 del Segundo Tribunal Colegiado en Materia Administrativa del Tercer Circuito.</w:t>
      </w:r>
    </w:p>
    <w:p w:rsidR="003E2448" w:rsidRDefault="003E2448" w:rsidP="003E244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23/2018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45/2020 del Séptimo Tribunal Colegiado en Materia Administrativa del Tercer Circuito.</w:t>
      </w:r>
    </w:p>
    <w:p w:rsidR="00E86C1F" w:rsidRPr="00FB5CAA" w:rsidRDefault="003E2448" w:rsidP="003E244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E2448">
        <w:rPr>
          <w:rFonts w:ascii="Century Gothic" w:hAnsi="Century Gothic"/>
          <w:b/>
          <w:sz w:val="24"/>
          <w:szCs w:val="24"/>
        </w:rPr>
        <w:t>ADALAJARA, JALISCO, VEINTITRES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1887401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E2448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81A9-8666-48A7-A455-AAAFEF4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2020-11-30T19:39:00Z</dcterms:created>
  <dcterms:modified xsi:type="dcterms:W3CDTF">2020-11-30T19:39:00Z</dcterms:modified>
</cp:coreProperties>
</file>