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3616292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4B6007">
        <w:rPr>
          <w:rFonts w:ascii="Century Gothic" w:hAnsi="Century Gothic"/>
          <w:b/>
          <w:sz w:val="24"/>
          <w:szCs w:val="24"/>
        </w:rPr>
        <w:t>Séptima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B6007">
        <w:rPr>
          <w:rFonts w:ascii="Century Gothic" w:hAnsi="Century Gothic"/>
          <w:b/>
          <w:sz w:val="24"/>
          <w:szCs w:val="24"/>
        </w:rPr>
        <w:t>treinta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B6007" w:rsidRPr="0052553A" w:rsidRDefault="004B6007" w:rsidP="004B6007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B6007" w:rsidRDefault="004B6007" w:rsidP="004B600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B6007" w:rsidRPr="00982187" w:rsidRDefault="004B6007" w:rsidP="004B600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728/2020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02/2020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4B6007" w:rsidP="004B600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822/2019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02/2020 del Tercer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>ADALAJARA, JALISCO, VEINTISIETE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3616292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795-E767-42BE-9C5B-AB34D5D3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2020-12-01T16:31:00Z</dcterms:created>
  <dcterms:modified xsi:type="dcterms:W3CDTF">2020-12-01T16:31:00Z</dcterms:modified>
</cp:coreProperties>
</file>