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>
        <w:rPr>
          <w:rFonts w:ascii="Century Gothic" w:hAnsi="Century Gothic"/>
          <w:b/>
          <w:sz w:val="24"/>
          <w:szCs w:val="24"/>
        </w:rPr>
        <w:t xml:space="preserve">Décima </w:t>
      </w:r>
      <w:r>
        <w:rPr>
          <w:rFonts w:ascii="Century Gothic" w:hAnsi="Century Gothic"/>
          <w:b/>
          <w:sz w:val="24"/>
          <w:szCs w:val="24"/>
        </w:rPr>
        <w:t>Séptima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treinta</w:t>
      </w:r>
      <w:r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431EA" w:rsidRPr="0052553A" w:rsidRDefault="009431EA" w:rsidP="009431E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431EA" w:rsidRDefault="009431EA" w:rsidP="009431E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9431EA" w:rsidP="009431E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431E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 la Aclaración de sentencia del expediente del Recurso de Reclamación 1070/2020</w:t>
      </w:r>
      <w:r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</w:t>
      </w:r>
      <w:r>
        <w:rPr>
          <w:rFonts w:ascii="Century Gothic" w:hAnsi="Century Gothic"/>
          <w:b/>
          <w:sz w:val="24"/>
          <w:szCs w:val="24"/>
        </w:rPr>
        <w:t>VEINTINUEV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E </w:t>
      </w:r>
      <w:r>
        <w:rPr>
          <w:rFonts w:ascii="Century Gothic" w:hAnsi="Century Gothic"/>
          <w:b/>
          <w:sz w:val="24"/>
          <w:szCs w:val="24"/>
        </w:rPr>
        <w:t>DE MARZO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9431EA"/>
    <w:sectPr w:rsidR="001C1093" w:rsidSect="00DE0644">
      <w:headerReference w:type="default" r:id="rId5"/>
      <w:footerReference w:type="default" r:id="rId6"/>
      <w:headerReference w:type="first" r:id="rId7"/>
      <w:footerReference w:type="first" r:id="rId8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431E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431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431E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431E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431E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384412"/>
    <w:rsid w:val="009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1</cp:revision>
  <dcterms:created xsi:type="dcterms:W3CDTF">2021-03-30T19:04:00Z</dcterms:created>
  <dcterms:modified xsi:type="dcterms:W3CDTF">2021-03-30T19:07:00Z</dcterms:modified>
</cp:coreProperties>
</file>