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2073639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24270A">
        <w:rPr>
          <w:rFonts w:ascii="Century Gothic" w:hAnsi="Century Gothic"/>
          <w:b/>
          <w:sz w:val="24"/>
          <w:szCs w:val="24"/>
        </w:rPr>
        <w:t>Sexagésima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="005A6F79">
        <w:rPr>
          <w:rFonts w:ascii="Century Gothic" w:hAnsi="Century Gothic"/>
          <w:b/>
          <w:sz w:val="24"/>
          <w:szCs w:val="24"/>
        </w:rPr>
        <w:t>Cuarta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A6F79">
        <w:rPr>
          <w:rFonts w:ascii="Century Gothic" w:hAnsi="Century Gothic"/>
          <w:b/>
          <w:sz w:val="24"/>
          <w:szCs w:val="24"/>
        </w:rPr>
        <w:t>tres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A6F79" w:rsidRPr="002F7E7D" w:rsidRDefault="005A6F79" w:rsidP="005A6F79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2F7E7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5A6F79" w:rsidRPr="002F7E7D" w:rsidRDefault="005A6F79" w:rsidP="005A6F79">
      <w:pPr>
        <w:pStyle w:val="Sangradetextonormal"/>
        <w:numPr>
          <w:ilvl w:val="0"/>
          <w:numId w:val="2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2F7E7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5A6F79" w:rsidRPr="002F7E7D" w:rsidRDefault="005A6F79" w:rsidP="005A6F79">
      <w:pPr>
        <w:pStyle w:val="Sangradetextonormal"/>
        <w:numPr>
          <w:ilvl w:val="0"/>
          <w:numId w:val="2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2F7E7D">
        <w:rPr>
          <w:rFonts w:ascii="Century Gothic" w:hAnsi="Century Gothic" w:cs="Arial"/>
          <w:b w:val="0"/>
          <w:sz w:val="25"/>
          <w:szCs w:val="25"/>
        </w:rPr>
        <w:t xml:space="preserve">Ajuste de horario para la Oficialía de Partes Común del Tribunal de Justicia Administrativa del Estado de Jalisco, en cumplimiento al Acuerdo del Gobernador del Estado, </w:t>
      </w:r>
      <w:r>
        <w:rPr>
          <w:rFonts w:ascii="Century Gothic" w:hAnsi="Century Gothic" w:cs="Arial"/>
          <w:b w:val="0"/>
          <w:sz w:val="25"/>
          <w:szCs w:val="25"/>
        </w:rPr>
        <w:t xml:space="preserve">publicado </w:t>
      </w:r>
      <w:r w:rsidRPr="002F7E7D">
        <w:rPr>
          <w:rFonts w:ascii="Century Gothic" w:hAnsi="Century Gothic" w:cs="Arial"/>
          <w:b w:val="0"/>
          <w:sz w:val="25"/>
          <w:szCs w:val="25"/>
        </w:rPr>
        <w:t>de primero</w:t>
      </w:r>
      <w:r>
        <w:rPr>
          <w:rFonts w:ascii="Century Gothic" w:hAnsi="Century Gothic" w:cs="Arial"/>
          <w:b w:val="0"/>
          <w:sz w:val="25"/>
          <w:szCs w:val="25"/>
        </w:rPr>
        <w:t xml:space="preserve"> de noviembre de dos mil veinte en el Periódico Oficial El Estado de Jalisco</w:t>
      </w:r>
      <w:r w:rsidRPr="002F7E7D">
        <w:rPr>
          <w:rFonts w:ascii="Century Gothic" w:hAnsi="Century Gothic" w:cs="Arial"/>
          <w:b w:val="0"/>
          <w:sz w:val="25"/>
          <w:szCs w:val="25"/>
        </w:rPr>
        <w:t xml:space="preserve"> y;</w:t>
      </w:r>
    </w:p>
    <w:p w:rsidR="00E86C1F" w:rsidRPr="00FB5CAA" w:rsidRDefault="005A6F79" w:rsidP="005A6F7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A6F79">
        <w:rPr>
          <w:rFonts w:ascii="Century Gothic" w:hAnsi="Century Gothic" w:cs="Arial"/>
          <w:b w:val="0"/>
          <w:sz w:val="25"/>
          <w:szCs w:val="25"/>
        </w:rPr>
        <w:t xml:space="preserve">  Clausura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5A6F79">
        <w:rPr>
          <w:rFonts w:ascii="Century Gothic" w:hAnsi="Century Gothic"/>
          <w:b/>
          <w:sz w:val="24"/>
          <w:szCs w:val="24"/>
        </w:rPr>
        <w:t>ADALAJARA, JALISCO, TREINTA</w:t>
      </w:r>
      <w:bookmarkStart w:id="0" w:name="_GoBack"/>
      <w:bookmarkEnd w:id="0"/>
      <w:r w:rsidR="008F6E99">
        <w:rPr>
          <w:rFonts w:ascii="Century Gothic" w:hAnsi="Century Gothic"/>
          <w:b/>
          <w:sz w:val="24"/>
          <w:szCs w:val="24"/>
        </w:rPr>
        <w:t xml:space="preserve">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2073639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A6F79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3F8A-EEB9-4A1A-9D31-6C7F89C0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2021-06-09T18:41:00Z</dcterms:created>
  <dcterms:modified xsi:type="dcterms:W3CDTF">2021-06-09T18:41:00Z</dcterms:modified>
</cp:coreProperties>
</file>