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4C00DF"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SEXAGÉSIMA</w:t>
      </w:r>
      <w:r w:rsidR="00602514">
        <w:rPr>
          <w:rFonts w:ascii="Century Gothic" w:eastAsia="Times New Roman" w:hAnsi="Century Gothic" w:cs="Verdana"/>
          <w:b/>
          <w:sz w:val="28"/>
          <w:szCs w:val="28"/>
          <w:lang w:val="es-ES" w:eastAsia="es-ES"/>
        </w:rPr>
        <w:t xml:space="preserve"> </w:t>
      </w:r>
      <w:r w:rsidR="00ED0DFC">
        <w:rPr>
          <w:rFonts w:ascii="Century Gothic" w:eastAsia="Times New Roman" w:hAnsi="Century Gothic" w:cs="Verdana"/>
          <w:b/>
          <w:sz w:val="28"/>
          <w:szCs w:val="28"/>
          <w:lang w:val="es-ES" w:eastAsia="es-ES"/>
        </w:rPr>
        <w:t xml:space="preserve">NOVENA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sidR="004C00DF">
        <w:rPr>
          <w:rFonts w:ascii="Century Gothic" w:eastAsia="Times New Roman" w:hAnsi="Century Gothic" w:cs="Verdana"/>
          <w:b/>
          <w:sz w:val="24"/>
          <w:szCs w:val="24"/>
          <w:lang w:val="es-ES" w:eastAsia="es-ES"/>
        </w:rPr>
        <w:t xml:space="preserve"> horas del </w:t>
      </w:r>
      <w:r w:rsidR="00ED0DFC">
        <w:rPr>
          <w:rFonts w:ascii="Century Gothic" w:eastAsia="Times New Roman" w:hAnsi="Century Gothic" w:cs="Verdana"/>
          <w:b/>
          <w:sz w:val="24"/>
          <w:szCs w:val="24"/>
          <w:lang w:val="es-ES" w:eastAsia="es-ES"/>
        </w:rPr>
        <w:t>catorce</w:t>
      </w:r>
      <w:r w:rsidR="00D53897">
        <w:rPr>
          <w:rFonts w:ascii="Century Gothic" w:eastAsia="Times New Roman" w:hAnsi="Century Gothic" w:cs="Verdana"/>
          <w:b/>
          <w:sz w:val="24"/>
          <w:szCs w:val="24"/>
          <w:lang w:val="es-ES" w:eastAsia="es-ES"/>
        </w:rPr>
        <w:t xml:space="preserve"> de </w:t>
      </w:r>
      <w:r w:rsidR="00ED0DFC">
        <w:rPr>
          <w:rFonts w:ascii="Century Gothic" w:eastAsia="Times New Roman" w:hAnsi="Century Gothic" w:cs="Verdana"/>
          <w:b/>
          <w:sz w:val="24"/>
          <w:szCs w:val="24"/>
          <w:lang w:val="es-ES" w:eastAsia="es-ES"/>
        </w:rPr>
        <w:t>julio</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ED0DFC">
        <w:rPr>
          <w:rFonts w:ascii="Century Gothic" w:eastAsia="Times New Roman" w:hAnsi="Century Gothic" w:cs="Verdana"/>
          <w:b/>
          <w:sz w:val="24"/>
          <w:szCs w:val="24"/>
          <w:lang w:val="es-ES" w:eastAsia="es-ES"/>
        </w:rPr>
        <w:t>Sexagésima Novena</w:t>
      </w:r>
      <w:r w:rsidR="00602514">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A0250B" w:rsidRDefault="00A0250B"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0250B" w:rsidRDefault="00A0250B"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2C2C7E" w:rsidRDefault="00A73086" w:rsidP="002C2C7E">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lastRenderedPageBreak/>
        <w:t>Recepción de</w:t>
      </w:r>
      <w:r w:rsidR="00ED0DFC">
        <w:rPr>
          <w:rFonts w:ascii="Century Gothic" w:hAnsi="Century Gothic"/>
          <w:b w:val="0"/>
          <w:sz w:val="24"/>
          <w:szCs w:val="24"/>
        </w:rPr>
        <w:t xml:space="preserve"> </w:t>
      </w:r>
      <w:r w:rsidR="001123FD">
        <w:rPr>
          <w:rFonts w:ascii="Century Gothic" w:hAnsi="Century Gothic"/>
          <w:b w:val="0"/>
          <w:sz w:val="24"/>
          <w:szCs w:val="24"/>
        </w:rPr>
        <w:t>l</w:t>
      </w:r>
      <w:r w:rsidR="00ED0DFC">
        <w:rPr>
          <w:rFonts w:ascii="Century Gothic" w:hAnsi="Century Gothic"/>
          <w:b w:val="0"/>
          <w:sz w:val="24"/>
          <w:szCs w:val="24"/>
        </w:rPr>
        <w:t>os</w:t>
      </w:r>
      <w:r w:rsidRPr="0052553A">
        <w:rPr>
          <w:rFonts w:ascii="Century Gothic" w:hAnsi="Century Gothic"/>
          <w:b w:val="0"/>
          <w:sz w:val="24"/>
          <w:szCs w:val="24"/>
        </w:rPr>
        <w:t xml:space="preserve"> oficio</w:t>
      </w:r>
      <w:r w:rsidR="00ED0DFC">
        <w:rPr>
          <w:rFonts w:ascii="Century Gothic" w:hAnsi="Century Gothic"/>
          <w:b w:val="0"/>
          <w:sz w:val="24"/>
          <w:szCs w:val="24"/>
        </w:rPr>
        <w:t>s 191/5TCC/2021/2, 9767</w:t>
      </w:r>
      <w:r w:rsidR="001123FD">
        <w:rPr>
          <w:rFonts w:ascii="Century Gothic" w:hAnsi="Century Gothic"/>
          <w:b w:val="0"/>
          <w:sz w:val="24"/>
          <w:szCs w:val="24"/>
        </w:rPr>
        <w:t>/2021</w:t>
      </w:r>
      <w:r w:rsidR="00ED0DFC">
        <w:rPr>
          <w:rFonts w:ascii="Century Gothic" w:hAnsi="Century Gothic"/>
          <w:b w:val="0"/>
          <w:sz w:val="24"/>
          <w:szCs w:val="24"/>
        </w:rPr>
        <w:t xml:space="preserve"> y 9861/2021</w:t>
      </w:r>
      <w:r w:rsidR="00CC29B0">
        <w:rPr>
          <w:rFonts w:ascii="Century Gothic" w:hAnsi="Century Gothic"/>
          <w:b w:val="0"/>
          <w:sz w:val="24"/>
          <w:szCs w:val="24"/>
        </w:rPr>
        <w:t xml:space="preserve"> </w:t>
      </w:r>
      <w:r w:rsidRPr="00982187">
        <w:rPr>
          <w:rFonts w:ascii="Century Gothic" w:hAnsi="Century Gothic"/>
          <w:b w:val="0"/>
          <w:sz w:val="24"/>
          <w:szCs w:val="24"/>
        </w:rPr>
        <w:t>que remite</w:t>
      </w:r>
      <w:r w:rsidR="00ED0DFC">
        <w:rPr>
          <w:rFonts w:ascii="Century Gothic" w:hAnsi="Century Gothic"/>
          <w:b w:val="0"/>
          <w:sz w:val="24"/>
          <w:szCs w:val="24"/>
        </w:rPr>
        <w:t>n</w:t>
      </w:r>
      <w:r w:rsidR="00C40EE6">
        <w:rPr>
          <w:rFonts w:ascii="Century Gothic" w:hAnsi="Century Gothic"/>
          <w:b w:val="0"/>
          <w:sz w:val="24"/>
          <w:szCs w:val="24"/>
        </w:rPr>
        <w:t xml:space="preserve"> </w:t>
      </w:r>
      <w:r w:rsidR="00ED0DFC">
        <w:rPr>
          <w:rFonts w:ascii="Century Gothic" w:hAnsi="Century Gothic"/>
          <w:b w:val="0"/>
          <w:sz w:val="24"/>
          <w:szCs w:val="24"/>
        </w:rPr>
        <w:t>los</w:t>
      </w:r>
      <w:r w:rsidR="00AD5BEB">
        <w:rPr>
          <w:rFonts w:ascii="Century Gothic" w:hAnsi="Century Gothic"/>
          <w:b w:val="0"/>
          <w:sz w:val="24"/>
          <w:szCs w:val="24"/>
        </w:rPr>
        <w:t xml:space="preserve"> Secretario</w:t>
      </w:r>
      <w:r w:rsidR="00ED0DFC">
        <w:rPr>
          <w:rFonts w:ascii="Century Gothic" w:hAnsi="Century Gothic"/>
          <w:b w:val="0"/>
          <w:sz w:val="24"/>
          <w:szCs w:val="24"/>
        </w:rPr>
        <w:t>s</w:t>
      </w:r>
      <w:r w:rsidR="005F12F1">
        <w:rPr>
          <w:rFonts w:ascii="Century Gothic" w:hAnsi="Century Gothic"/>
          <w:b w:val="0"/>
          <w:sz w:val="24"/>
          <w:szCs w:val="24"/>
        </w:rPr>
        <w:t xml:space="preserve"> </w:t>
      </w:r>
      <w:r w:rsidR="00602514">
        <w:rPr>
          <w:rFonts w:ascii="Century Gothic" w:hAnsi="Century Gothic"/>
          <w:b w:val="0"/>
          <w:sz w:val="24"/>
          <w:szCs w:val="24"/>
        </w:rPr>
        <w:t>de Acuerdo</w:t>
      </w:r>
      <w:r w:rsidR="00CD3C05">
        <w:rPr>
          <w:rFonts w:ascii="Century Gothic" w:hAnsi="Century Gothic"/>
          <w:b w:val="0"/>
          <w:sz w:val="24"/>
          <w:szCs w:val="24"/>
        </w:rPr>
        <w:t>s</w:t>
      </w:r>
      <w:r w:rsidR="007E3B50">
        <w:rPr>
          <w:rFonts w:ascii="Century Gothic" w:hAnsi="Century Gothic"/>
          <w:b w:val="0"/>
          <w:sz w:val="24"/>
          <w:szCs w:val="24"/>
        </w:rPr>
        <w:t xml:space="preserve"> del </w:t>
      </w:r>
      <w:r w:rsidR="00ED0DFC">
        <w:rPr>
          <w:rFonts w:ascii="Century Gothic" w:hAnsi="Century Gothic"/>
          <w:b w:val="0"/>
          <w:sz w:val="24"/>
          <w:szCs w:val="24"/>
        </w:rPr>
        <w:t>Segundo y Quinto</w:t>
      </w:r>
      <w:r w:rsidR="00BA4298">
        <w:rPr>
          <w:rFonts w:ascii="Century Gothic" w:hAnsi="Century Gothic"/>
          <w:b w:val="0"/>
          <w:sz w:val="24"/>
          <w:szCs w:val="24"/>
        </w:rPr>
        <w:t xml:space="preserve"> Tribunal Colegiado en Materia Administrativa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ED0DFC">
        <w:rPr>
          <w:rFonts w:ascii="Century Gothic" w:hAnsi="Century Gothic"/>
          <w:b w:val="0"/>
          <w:sz w:val="24"/>
          <w:szCs w:val="24"/>
        </w:rPr>
        <w:t>s</w:t>
      </w:r>
      <w:r w:rsidR="00516913">
        <w:rPr>
          <w:rFonts w:ascii="Century Gothic" w:hAnsi="Century Gothic"/>
          <w:b w:val="0"/>
          <w:sz w:val="24"/>
          <w:szCs w:val="24"/>
        </w:rPr>
        <w:t xml:space="preserve"> a</w:t>
      </w:r>
      <w:r w:rsidR="00ED0DFC">
        <w:rPr>
          <w:rFonts w:ascii="Century Gothic" w:hAnsi="Century Gothic"/>
          <w:b w:val="0"/>
          <w:sz w:val="24"/>
          <w:szCs w:val="24"/>
        </w:rPr>
        <w:t xml:space="preserve"> </w:t>
      </w:r>
      <w:r w:rsidR="00516913">
        <w:rPr>
          <w:rFonts w:ascii="Century Gothic" w:hAnsi="Century Gothic"/>
          <w:b w:val="0"/>
          <w:sz w:val="24"/>
          <w:szCs w:val="24"/>
        </w:rPr>
        <w:t>l</w:t>
      </w:r>
      <w:r w:rsidR="00ED0DFC">
        <w:rPr>
          <w:rFonts w:ascii="Century Gothic" w:hAnsi="Century Gothic"/>
          <w:b w:val="0"/>
          <w:sz w:val="24"/>
          <w:szCs w:val="24"/>
        </w:rPr>
        <w:t>os</w:t>
      </w:r>
      <w:r w:rsidR="00516913">
        <w:rPr>
          <w:rFonts w:ascii="Century Gothic" w:hAnsi="Century Gothic"/>
          <w:b w:val="0"/>
          <w:sz w:val="24"/>
          <w:szCs w:val="24"/>
        </w:rPr>
        <w:t xml:space="preserve"> Juicio</w:t>
      </w:r>
      <w:r w:rsidR="00ED0DFC">
        <w:rPr>
          <w:rFonts w:ascii="Century Gothic" w:hAnsi="Century Gothic"/>
          <w:b w:val="0"/>
          <w:sz w:val="24"/>
          <w:szCs w:val="24"/>
        </w:rPr>
        <w:t>s</w:t>
      </w:r>
      <w:r w:rsidR="00516913">
        <w:rPr>
          <w:rFonts w:ascii="Century Gothic" w:hAnsi="Century Gothic"/>
          <w:b w:val="0"/>
          <w:sz w:val="24"/>
          <w:szCs w:val="24"/>
        </w:rPr>
        <w:t xml:space="preserve"> de Amparo número </w:t>
      </w:r>
      <w:r w:rsidR="00ED0DFC">
        <w:rPr>
          <w:rFonts w:ascii="Century Gothic" w:hAnsi="Century Gothic"/>
          <w:b w:val="0"/>
          <w:sz w:val="24"/>
          <w:szCs w:val="24"/>
        </w:rPr>
        <w:t>193/2020, 210/2019 y 203/2019</w:t>
      </w:r>
      <w:r w:rsidR="002C2C7E">
        <w:rPr>
          <w:rFonts w:ascii="Century Gothic" w:hAnsi="Century Gothic"/>
          <w:b w:val="0"/>
          <w:sz w:val="24"/>
          <w:szCs w:val="24"/>
        </w:rPr>
        <w:t xml:space="preserve"> </w:t>
      </w:r>
      <w:r w:rsidRPr="001123FD">
        <w:rPr>
          <w:rFonts w:ascii="Century Gothic" w:hAnsi="Century Gothic"/>
          <w:b w:val="0"/>
          <w:sz w:val="24"/>
          <w:szCs w:val="24"/>
        </w:rPr>
        <w:t xml:space="preserve">mediante </w:t>
      </w:r>
      <w:r w:rsidR="00ED0DFC">
        <w:rPr>
          <w:rFonts w:ascii="Century Gothic" w:hAnsi="Century Gothic"/>
          <w:b w:val="0"/>
          <w:sz w:val="24"/>
          <w:szCs w:val="24"/>
        </w:rPr>
        <w:t>los</w:t>
      </w:r>
      <w:r w:rsidRPr="001123FD">
        <w:rPr>
          <w:rFonts w:ascii="Century Gothic" w:hAnsi="Century Gothic"/>
          <w:b w:val="0"/>
          <w:sz w:val="24"/>
          <w:szCs w:val="24"/>
        </w:rPr>
        <w:t xml:space="preserve"> cual</w:t>
      </w:r>
      <w:r w:rsidR="00ED0DFC">
        <w:rPr>
          <w:rFonts w:ascii="Century Gothic" w:hAnsi="Century Gothic"/>
          <w:b w:val="0"/>
          <w:sz w:val="24"/>
          <w:szCs w:val="24"/>
        </w:rPr>
        <w:t>es</w:t>
      </w:r>
      <w:r w:rsidRPr="002C2C7E">
        <w:rPr>
          <w:rFonts w:ascii="Century Gothic" w:hAnsi="Century Gothic"/>
          <w:b w:val="0"/>
          <w:sz w:val="24"/>
          <w:szCs w:val="24"/>
        </w:rPr>
        <w:t xml:space="preserve"> requiere</w:t>
      </w:r>
      <w:r w:rsidR="00ED0DFC">
        <w:rPr>
          <w:rFonts w:ascii="Century Gothic" w:hAnsi="Century Gothic"/>
          <w:b w:val="0"/>
          <w:sz w:val="24"/>
          <w:szCs w:val="24"/>
        </w:rPr>
        <w:t>n</w:t>
      </w:r>
      <w:r w:rsidRPr="002C2C7E">
        <w:rPr>
          <w:rFonts w:ascii="Century Gothic" w:hAnsi="Century Gothic"/>
          <w:b w:val="0"/>
          <w:sz w:val="24"/>
          <w:szCs w:val="24"/>
        </w:rPr>
        <w:t xml:space="preserve"> a este Tribunal por el cumplimiento de la ejecutoria de</w:t>
      </w:r>
      <w:r w:rsidR="00ED0DFC">
        <w:rPr>
          <w:rFonts w:ascii="Century Gothic" w:hAnsi="Century Gothic"/>
          <w:b w:val="0"/>
          <w:sz w:val="24"/>
          <w:szCs w:val="24"/>
        </w:rPr>
        <w:t xml:space="preserve"> </w:t>
      </w:r>
      <w:r w:rsidR="002C2C7E">
        <w:rPr>
          <w:rFonts w:ascii="Century Gothic" w:hAnsi="Century Gothic"/>
          <w:b w:val="0"/>
          <w:sz w:val="24"/>
          <w:szCs w:val="24"/>
        </w:rPr>
        <w:t>l</w:t>
      </w:r>
      <w:r w:rsidR="00ED0DFC">
        <w:rPr>
          <w:rFonts w:ascii="Century Gothic" w:hAnsi="Century Gothic"/>
          <w:b w:val="0"/>
          <w:sz w:val="24"/>
          <w:szCs w:val="24"/>
        </w:rPr>
        <w:t>os</w:t>
      </w:r>
      <w:r w:rsidRPr="002C2C7E">
        <w:rPr>
          <w:rFonts w:ascii="Century Gothic" w:hAnsi="Century Gothic"/>
          <w:b w:val="0"/>
          <w:sz w:val="24"/>
          <w:szCs w:val="24"/>
        </w:rPr>
        <w:t xml:space="preserve"> juicio</w:t>
      </w:r>
      <w:r w:rsidR="00ED0DFC">
        <w:rPr>
          <w:rFonts w:ascii="Century Gothic" w:hAnsi="Century Gothic"/>
          <w:b w:val="0"/>
          <w:sz w:val="24"/>
          <w:szCs w:val="24"/>
        </w:rPr>
        <w:t>s</w:t>
      </w:r>
      <w:r w:rsidRPr="002C2C7E">
        <w:rPr>
          <w:rFonts w:ascii="Century Gothic" w:hAnsi="Century Gothic"/>
          <w:b w:val="0"/>
          <w:sz w:val="24"/>
          <w:szCs w:val="24"/>
        </w:rPr>
        <w:t xml:space="preserve"> de amparo referido</w:t>
      </w:r>
      <w:r w:rsidR="00ED0DFC">
        <w:rPr>
          <w:rFonts w:ascii="Century Gothic" w:hAnsi="Century Gothic"/>
          <w:b w:val="0"/>
          <w:sz w:val="24"/>
          <w:szCs w:val="24"/>
        </w:rPr>
        <w:t>s</w:t>
      </w:r>
      <w:r w:rsidRPr="002C2C7E">
        <w:rPr>
          <w:rFonts w:ascii="Century Gothic" w:hAnsi="Century Gothic"/>
          <w:b w:val="0"/>
          <w:sz w:val="24"/>
          <w:szCs w:val="24"/>
        </w:rPr>
        <w:t>.</w:t>
      </w:r>
    </w:p>
    <w:p w:rsidR="00A0250B" w:rsidRPr="00ED0DFC" w:rsidRDefault="00A73086" w:rsidP="003041CF">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sidR="00490D33">
        <w:rPr>
          <w:rFonts w:ascii="Century Gothic" w:hAnsi="Century Gothic"/>
          <w:b w:val="0"/>
          <w:sz w:val="24"/>
          <w:szCs w:val="24"/>
        </w:rPr>
        <w:t>cto de s</w:t>
      </w:r>
      <w:r>
        <w:rPr>
          <w:rFonts w:ascii="Century Gothic" w:hAnsi="Century Gothic"/>
          <w:b w:val="0"/>
          <w:sz w:val="24"/>
          <w:szCs w:val="24"/>
        </w:rPr>
        <w:t xml:space="preserve">entencia del expediente del </w:t>
      </w:r>
      <w:r w:rsidR="007E3B50">
        <w:rPr>
          <w:rFonts w:ascii="Century Gothic" w:hAnsi="Century Gothic"/>
          <w:b w:val="0"/>
          <w:sz w:val="24"/>
          <w:szCs w:val="24"/>
        </w:rPr>
        <w:t>Recurso de</w:t>
      </w:r>
      <w:r w:rsidR="002228CE">
        <w:rPr>
          <w:rFonts w:ascii="Century Gothic" w:hAnsi="Century Gothic"/>
          <w:b w:val="0"/>
          <w:sz w:val="24"/>
          <w:szCs w:val="24"/>
        </w:rPr>
        <w:t xml:space="preserve"> Reclam</w:t>
      </w:r>
      <w:r w:rsidR="00ED0DFC">
        <w:rPr>
          <w:rFonts w:ascii="Century Gothic" w:hAnsi="Century Gothic"/>
          <w:b w:val="0"/>
          <w:sz w:val="24"/>
          <w:szCs w:val="24"/>
        </w:rPr>
        <w:t>ación 249</w:t>
      </w:r>
      <w:r w:rsidR="00DF164B">
        <w:rPr>
          <w:rFonts w:ascii="Century Gothic" w:hAnsi="Century Gothic"/>
          <w:b w:val="0"/>
          <w:sz w:val="24"/>
          <w:szCs w:val="24"/>
        </w:rPr>
        <w:t>/2020</w:t>
      </w:r>
      <w:r>
        <w:rPr>
          <w:rFonts w:ascii="Century Gothic" w:hAnsi="Century Gothic"/>
          <w:b w:val="0"/>
          <w:sz w:val="24"/>
          <w:szCs w:val="24"/>
        </w:rPr>
        <w:t xml:space="preserve"> </w:t>
      </w:r>
      <w:r w:rsidRPr="0052553A">
        <w:rPr>
          <w:rFonts w:ascii="Century Gothic" w:hAnsi="Century Gothic"/>
          <w:b w:val="0"/>
          <w:sz w:val="24"/>
          <w:szCs w:val="24"/>
        </w:rPr>
        <w:t>en cumpl</w:t>
      </w:r>
      <w:r w:rsidR="00490D33">
        <w:rPr>
          <w:rFonts w:ascii="Century Gothic" w:hAnsi="Century Gothic"/>
          <w:b w:val="0"/>
          <w:sz w:val="24"/>
          <w:szCs w:val="24"/>
        </w:rPr>
        <w:t xml:space="preserve">imiento </w:t>
      </w:r>
      <w:r w:rsidR="00A91123">
        <w:rPr>
          <w:rFonts w:ascii="Century Gothic" w:hAnsi="Century Gothic"/>
          <w:b w:val="0"/>
          <w:sz w:val="24"/>
          <w:szCs w:val="24"/>
        </w:rPr>
        <w:t>al Juicio de</w:t>
      </w:r>
      <w:r w:rsidR="00ED0DFC">
        <w:rPr>
          <w:rFonts w:ascii="Century Gothic" w:hAnsi="Century Gothic"/>
          <w:b w:val="0"/>
          <w:sz w:val="24"/>
          <w:szCs w:val="24"/>
        </w:rPr>
        <w:t xml:space="preserve"> Amparo 193/2020 del Quinto</w:t>
      </w:r>
      <w:r w:rsidR="00BA4298">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p>
    <w:p w:rsidR="00ED0DFC" w:rsidRPr="00ED0DFC" w:rsidRDefault="00ED0DFC" w:rsidP="00ED0DFC">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del Recurso de</w:t>
      </w:r>
      <w:r>
        <w:rPr>
          <w:rFonts w:ascii="Century Gothic" w:hAnsi="Century Gothic"/>
          <w:b w:val="0"/>
          <w:sz w:val="24"/>
          <w:szCs w:val="24"/>
        </w:rPr>
        <w:t xml:space="preserve"> Apelación 355/2015</w:t>
      </w:r>
      <w:r>
        <w:rPr>
          <w:rFonts w:ascii="Century Gothic" w:hAnsi="Century Gothic"/>
          <w:b w:val="0"/>
          <w:sz w:val="24"/>
          <w:szCs w:val="24"/>
        </w:rPr>
        <w:t xml:space="preserve"> </w:t>
      </w:r>
      <w:r w:rsidRPr="0052553A">
        <w:rPr>
          <w:rFonts w:ascii="Century Gothic" w:hAnsi="Century Gothic"/>
          <w:b w:val="0"/>
          <w:sz w:val="24"/>
          <w:szCs w:val="24"/>
        </w:rPr>
        <w:t>en cumpl</w:t>
      </w:r>
      <w:r>
        <w:rPr>
          <w:rFonts w:ascii="Century Gothic" w:hAnsi="Century Gothic"/>
          <w:b w:val="0"/>
          <w:sz w:val="24"/>
          <w:szCs w:val="24"/>
        </w:rPr>
        <w:t>imiento al Juicio de</w:t>
      </w:r>
      <w:r>
        <w:rPr>
          <w:rFonts w:ascii="Century Gothic" w:hAnsi="Century Gothic"/>
          <w:b w:val="0"/>
          <w:sz w:val="24"/>
          <w:szCs w:val="24"/>
        </w:rPr>
        <w:t xml:space="preserve"> Amparo 210/2019</w:t>
      </w:r>
      <w:r>
        <w:rPr>
          <w:rFonts w:ascii="Century Gothic" w:hAnsi="Century Gothic"/>
          <w:b w:val="0"/>
          <w:sz w:val="24"/>
          <w:szCs w:val="24"/>
        </w:rPr>
        <w:t xml:space="preserve"> del </w:t>
      </w:r>
      <w:r>
        <w:rPr>
          <w:rFonts w:ascii="Century Gothic" w:hAnsi="Century Gothic"/>
          <w:b w:val="0"/>
          <w:sz w:val="24"/>
          <w:szCs w:val="24"/>
        </w:rPr>
        <w:t>Segundo</w:t>
      </w:r>
      <w:r>
        <w:rPr>
          <w:rFonts w:ascii="Century Gothic" w:hAnsi="Century Gothic"/>
          <w:b w:val="0"/>
          <w:sz w:val="24"/>
          <w:szCs w:val="24"/>
        </w:rPr>
        <w:t xml:space="preserve"> Tribunal Colegiado en Materia Administrativa del Tercer Circuito.</w:t>
      </w:r>
    </w:p>
    <w:p w:rsidR="00ED0DFC" w:rsidRPr="00ED0DFC" w:rsidRDefault="00ED0DFC" w:rsidP="00ED0DFC">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w:t>
      </w:r>
      <w:r>
        <w:rPr>
          <w:rFonts w:ascii="Century Gothic" w:hAnsi="Century Gothic"/>
          <w:b w:val="0"/>
          <w:sz w:val="24"/>
          <w:szCs w:val="24"/>
        </w:rPr>
        <w:t>Juicio de Responsabilidad Patrimonial 152/2017</w:t>
      </w:r>
      <w:r>
        <w:rPr>
          <w:rFonts w:ascii="Century Gothic" w:hAnsi="Century Gothic"/>
          <w:b w:val="0"/>
          <w:sz w:val="24"/>
          <w:szCs w:val="24"/>
        </w:rPr>
        <w:t xml:space="preserve"> </w:t>
      </w:r>
      <w:r w:rsidRPr="0052553A">
        <w:rPr>
          <w:rFonts w:ascii="Century Gothic" w:hAnsi="Century Gothic"/>
          <w:b w:val="0"/>
          <w:sz w:val="24"/>
          <w:szCs w:val="24"/>
        </w:rPr>
        <w:t>en cumpl</w:t>
      </w:r>
      <w:r>
        <w:rPr>
          <w:rFonts w:ascii="Century Gothic" w:hAnsi="Century Gothic"/>
          <w:b w:val="0"/>
          <w:sz w:val="24"/>
          <w:szCs w:val="24"/>
        </w:rPr>
        <w:t>imiento al Juicio de</w:t>
      </w:r>
      <w:r w:rsidR="00D90553">
        <w:rPr>
          <w:rFonts w:ascii="Century Gothic" w:hAnsi="Century Gothic"/>
          <w:b w:val="0"/>
          <w:sz w:val="24"/>
          <w:szCs w:val="24"/>
        </w:rPr>
        <w:t xml:space="preserve"> Amparo 203/2019 del Segundo</w:t>
      </w:r>
      <w:r>
        <w:rPr>
          <w:rFonts w:ascii="Century Gothic" w:hAnsi="Century Gothic"/>
          <w:b w:val="0"/>
          <w:sz w:val="24"/>
          <w:szCs w:val="24"/>
        </w:rPr>
        <w:t xml:space="preserve"> Tribunal Colegiado en Materia Administrativa del Tercer Circuito.</w:t>
      </w:r>
    </w:p>
    <w:p w:rsidR="003178B5" w:rsidRPr="006F3FCD" w:rsidRDefault="003178B5" w:rsidP="003041CF">
      <w:pPr>
        <w:pStyle w:val="Textosinformato"/>
        <w:rPr>
          <w:b/>
          <w:szCs w:val="24"/>
          <w:lang w:val="es-ES_tradnl"/>
        </w:rPr>
      </w:pPr>
    </w:p>
    <w:p w:rsidR="003041CF" w:rsidRPr="00D83FC8" w:rsidRDefault="003041CF" w:rsidP="003041CF">
      <w:pPr>
        <w:pStyle w:val="Textosinformato"/>
        <w:jc w:val="center"/>
        <w:rPr>
          <w:b/>
          <w:szCs w:val="24"/>
        </w:rPr>
      </w:pPr>
      <w:r w:rsidRPr="0052553A">
        <w:rPr>
          <w:b/>
          <w:szCs w:val="24"/>
        </w:rPr>
        <w:t>- 1 -</w:t>
      </w:r>
    </w:p>
    <w:p w:rsidR="003178B5" w:rsidRPr="0052553A" w:rsidRDefault="003178B5" w:rsidP="003041CF">
      <w:pPr>
        <w:pStyle w:val="Textosinformato"/>
        <w:rPr>
          <w:szCs w:val="24"/>
        </w:rPr>
      </w:pPr>
    </w:p>
    <w:p w:rsidR="00A0250B"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3178B5" w:rsidRPr="0052553A" w:rsidRDefault="003178B5" w:rsidP="003041CF">
      <w:pPr>
        <w:pStyle w:val="Textosinformato"/>
        <w:rPr>
          <w:szCs w:val="24"/>
        </w:rPr>
      </w:pPr>
    </w:p>
    <w:p w:rsidR="00A0250B" w:rsidRPr="006F3FCD" w:rsidRDefault="003041CF" w:rsidP="006F3FCD">
      <w:pPr>
        <w:pStyle w:val="Textosinformato"/>
        <w:jc w:val="center"/>
        <w:rPr>
          <w:b/>
          <w:szCs w:val="24"/>
        </w:rPr>
      </w:pPr>
      <w:r w:rsidRPr="0052553A">
        <w:rPr>
          <w:b/>
          <w:szCs w:val="24"/>
        </w:rPr>
        <w:t>- 2 -</w:t>
      </w:r>
    </w:p>
    <w:p w:rsidR="003178B5" w:rsidRPr="0052553A" w:rsidRDefault="003178B5"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D90553">
              <w:rPr>
                <w:rFonts w:eastAsia="Calibri"/>
                <w:b/>
                <w:szCs w:val="24"/>
              </w:rPr>
              <w:t>69</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3178B5" w:rsidRDefault="003178B5"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3178B5" w:rsidRPr="0052553A" w:rsidRDefault="003178B5"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D90553" w:rsidRPr="0052553A">
        <w:rPr>
          <w:rFonts w:ascii="Century Gothic" w:hAnsi="Century Gothic"/>
          <w:b w:val="0"/>
          <w:sz w:val="24"/>
          <w:szCs w:val="24"/>
        </w:rPr>
        <w:t>de</w:t>
      </w:r>
      <w:r w:rsidR="00D90553">
        <w:rPr>
          <w:rFonts w:ascii="Century Gothic" w:hAnsi="Century Gothic"/>
          <w:b w:val="0"/>
          <w:sz w:val="24"/>
          <w:szCs w:val="24"/>
        </w:rPr>
        <w:t xml:space="preserve"> los</w:t>
      </w:r>
      <w:r w:rsidR="00D90553" w:rsidRPr="0052553A">
        <w:rPr>
          <w:rFonts w:ascii="Century Gothic" w:hAnsi="Century Gothic"/>
          <w:b w:val="0"/>
          <w:sz w:val="24"/>
          <w:szCs w:val="24"/>
        </w:rPr>
        <w:t xml:space="preserve"> oficio</w:t>
      </w:r>
      <w:r w:rsidR="00D90553">
        <w:rPr>
          <w:rFonts w:ascii="Century Gothic" w:hAnsi="Century Gothic"/>
          <w:b w:val="0"/>
          <w:sz w:val="24"/>
          <w:szCs w:val="24"/>
        </w:rPr>
        <w:t xml:space="preserve">s 191/5TCC/2021/2, 9767/2021 y 9861/2021 </w:t>
      </w:r>
      <w:r w:rsidR="00D90553" w:rsidRPr="00982187">
        <w:rPr>
          <w:rFonts w:ascii="Century Gothic" w:hAnsi="Century Gothic"/>
          <w:b w:val="0"/>
          <w:sz w:val="24"/>
          <w:szCs w:val="24"/>
        </w:rPr>
        <w:t>que remite</w:t>
      </w:r>
      <w:r w:rsidR="00D90553">
        <w:rPr>
          <w:rFonts w:ascii="Century Gothic" w:hAnsi="Century Gothic"/>
          <w:b w:val="0"/>
          <w:sz w:val="24"/>
          <w:szCs w:val="24"/>
        </w:rPr>
        <w:t>n los Secretarios de Acuerdos del Segundo y Quinto Tribunal Colegiado en Materia Administrativa del Tercer Circuito</w:t>
      </w:r>
      <w:r w:rsidR="00D90553" w:rsidRPr="00982187">
        <w:rPr>
          <w:rFonts w:ascii="Century Gothic" w:hAnsi="Century Gothic"/>
          <w:b w:val="0"/>
          <w:sz w:val="24"/>
          <w:szCs w:val="24"/>
        </w:rPr>
        <w:t>, rela</w:t>
      </w:r>
      <w:r w:rsidR="00D90553">
        <w:rPr>
          <w:rFonts w:ascii="Century Gothic" w:hAnsi="Century Gothic"/>
          <w:b w:val="0"/>
          <w:sz w:val="24"/>
          <w:szCs w:val="24"/>
        </w:rPr>
        <w:t xml:space="preserve">tivos a los Juicios de Amparo número 193/2020, 210/2019 y 203/2019 </w:t>
      </w:r>
      <w:r w:rsidR="00D90553" w:rsidRPr="001123FD">
        <w:rPr>
          <w:rFonts w:ascii="Century Gothic" w:hAnsi="Century Gothic"/>
          <w:b w:val="0"/>
          <w:sz w:val="24"/>
          <w:szCs w:val="24"/>
        </w:rPr>
        <w:t xml:space="preserve">mediante </w:t>
      </w:r>
      <w:r w:rsidR="00D90553">
        <w:rPr>
          <w:rFonts w:ascii="Century Gothic" w:hAnsi="Century Gothic"/>
          <w:b w:val="0"/>
          <w:sz w:val="24"/>
          <w:szCs w:val="24"/>
        </w:rPr>
        <w:t>los</w:t>
      </w:r>
      <w:r w:rsidR="00D90553" w:rsidRPr="001123FD">
        <w:rPr>
          <w:rFonts w:ascii="Century Gothic" w:hAnsi="Century Gothic"/>
          <w:b w:val="0"/>
          <w:sz w:val="24"/>
          <w:szCs w:val="24"/>
        </w:rPr>
        <w:t xml:space="preserve"> cual</w:t>
      </w:r>
      <w:r w:rsidR="00D90553">
        <w:rPr>
          <w:rFonts w:ascii="Century Gothic" w:hAnsi="Century Gothic"/>
          <w:b w:val="0"/>
          <w:sz w:val="24"/>
          <w:szCs w:val="24"/>
        </w:rPr>
        <w:t>es</w:t>
      </w:r>
      <w:r w:rsidR="00D90553" w:rsidRPr="002C2C7E">
        <w:rPr>
          <w:rFonts w:ascii="Century Gothic" w:hAnsi="Century Gothic"/>
          <w:b w:val="0"/>
          <w:sz w:val="24"/>
          <w:szCs w:val="24"/>
        </w:rPr>
        <w:t xml:space="preserve"> requiere</w:t>
      </w:r>
      <w:r w:rsidR="00D90553">
        <w:rPr>
          <w:rFonts w:ascii="Century Gothic" w:hAnsi="Century Gothic"/>
          <w:b w:val="0"/>
          <w:sz w:val="24"/>
          <w:szCs w:val="24"/>
        </w:rPr>
        <w:t>n</w:t>
      </w:r>
      <w:r w:rsidR="00D90553" w:rsidRPr="002C2C7E">
        <w:rPr>
          <w:rFonts w:ascii="Century Gothic" w:hAnsi="Century Gothic"/>
          <w:b w:val="0"/>
          <w:sz w:val="24"/>
          <w:szCs w:val="24"/>
        </w:rPr>
        <w:t xml:space="preserve"> a este Tribunal por el cumplimiento de la ejecutoria de</w:t>
      </w:r>
      <w:r w:rsidR="00D90553">
        <w:rPr>
          <w:rFonts w:ascii="Century Gothic" w:hAnsi="Century Gothic"/>
          <w:b w:val="0"/>
          <w:sz w:val="24"/>
          <w:szCs w:val="24"/>
        </w:rPr>
        <w:t xml:space="preserve"> los</w:t>
      </w:r>
      <w:r w:rsidR="00D90553" w:rsidRPr="002C2C7E">
        <w:rPr>
          <w:rFonts w:ascii="Century Gothic" w:hAnsi="Century Gothic"/>
          <w:b w:val="0"/>
          <w:sz w:val="24"/>
          <w:szCs w:val="24"/>
        </w:rPr>
        <w:t xml:space="preserve"> juicio</w:t>
      </w:r>
      <w:r w:rsidR="00D90553">
        <w:rPr>
          <w:rFonts w:ascii="Century Gothic" w:hAnsi="Century Gothic"/>
          <w:b w:val="0"/>
          <w:sz w:val="24"/>
          <w:szCs w:val="24"/>
        </w:rPr>
        <w:t>s</w:t>
      </w:r>
      <w:r w:rsidR="00D90553" w:rsidRPr="002C2C7E">
        <w:rPr>
          <w:rFonts w:ascii="Century Gothic" w:hAnsi="Century Gothic"/>
          <w:b w:val="0"/>
          <w:sz w:val="24"/>
          <w:szCs w:val="24"/>
        </w:rPr>
        <w:t xml:space="preserve"> de amparo referido</w:t>
      </w:r>
      <w:r w:rsidR="00D90553">
        <w:rPr>
          <w:rFonts w:ascii="Century Gothic" w:hAnsi="Century Gothic"/>
          <w:b w:val="0"/>
          <w:sz w:val="24"/>
          <w:szCs w:val="24"/>
        </w:rPr>
        <w:t>s</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A73086" w:rsidRPr="005255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F5573A" w:rsidRPr="00B44F95" w:rsidRDefault="00F5573A" w:rsidP="00A73086">
      <w:pPr>
        <w:pStyle w:val="Textosinformato"/>
        <w:rPr>
          <w:szCs w:val="24"/>
        </w:rPr>
      </w:pPr>
    </w:p>
    <w:p w:rsidR="00A0250B" w:rsidRDefault="00A73086" w:rsidP="006F3FCD">
      <w:pPr>
        <w:pStyle w:val="Textosinformato"/>
        <w:jc w:val="center"/>
        <w:rPr>
          <w:b/>
          <w:szCs w:val="24"/>
        </w:rPr>
      </w:pPr>
      <w:r>
        <w:rPr>
          <w:b/>
          <w:szCs w:val="24"/>
        </w:rPr>
        <w:t>- 4</w:t>
      </w:r>
      <w:r w:rsidRPr="0052553A">
        <w:rPr>
          <w:b/>
          <w:szCs w:val="24"/>
        </w:rPr>
        <w:t xml:space="preserve"> </w:t>
      </w:r>
      <w:r>
        <w:rPr>
          <w:b/>
          <w:szCs w:val="24"/>
        </w:rPr>
        <w:t>–</w:t>
      </w:r>
    </w:p>
    <w:p w:rsidR="003178B5" w:rsidRPr="0052553A" w:rsidRDefault="003178B5" w:rsidP="00A73086">
      <w:pPr>
        <w:pStyle w:val="Textosinformato"/>
        <w:rPr>
          <w:b/>
          <w:szCs w:val="24"/>
        </w:rPr>
      </w:pPr>
    </w:p>
    <w:p w:rsidR="00A73086"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D90553" w:rsidRPr="0052553A">
        <w:rPr>
          <w:rFonts w:ascii="Century Gothic" w:hAnsi="Century Gothic"/>
          <w:b w:val="0"/>
          <w:sz w:val="24"/>
          <w:szCs w:val="24"/>
        </w:rPr>
        <w:t>discusión y en su caso aprobación del proye</w:t>
      </w:r>
      <w:r w:rsidR="00D90553">
        <w:rPr>
          <w:rFonts w:ascii="Century Gothic" w:hAnsi="Century Gothic"/>
          <w:b w:val="0"/>
          <w:sz w:val="24"/>
          <w:szCs w:val="24"/>
        </w:rPr>
        <w:t xml:space="preserve">cto de sentencia del expediente del Recurso de Reclamación 249/2020 </w:t>
      </w:r>
      <w:r w:rsidR="00D90553" w:rsidRPr="0052553A">
        <w:rPr>
          <w:rFonts w:ascii="Century Gothic" w:hAnsi="Century Gothic"/>
          <w:b w:val="0"/>
          <w:sz w:val="24"/>
          <w:szCs w:val="24"/>
        </w:rPr>
        <w:t>en cumpl</w:t>
      </w:r>
      <w:r w:rsidR="00D90553">
        <w:rPr>
          <w:rFonts w:ascii="Century Gothic" w:hAnsi="Century Gothic"/>
          <w:b w:val="0"/>
          <w:sz w:val="24"/>
          <w:szCs w:val="24"/>
        </w:rPr>
        <w:t>imiento al Juicio de Amparo 193/2020 del Quinto Tribunal Colegiado en Materia Administrativa del Tercer Circuito</w:t>
      </w:r>
      <w:r>
        <w:rPr>
          <w:rFonts w:ascii="Century Gothic" w:hAnsi="Century Gothic"/>
          <w:b w:val="0"/>
          <w:sz w:val="24"/>
          <w:szCs w:val="24"/>
        </w:rPr>
        <w:t>.</w:t>
      </w:r>
    </w:p>
    <w:p w:rsidR="00A73086" w:rsidRPr="0054501A" w:rsidRDefault="00A73086" w:rsidP="00A73086">
      <w:pPr>
        <w:pStyle w:val="Sangradetextonormal"/>
        <w:ind w:left="-142" w:firstLine="0"/>
        <w:jc w:val="both"/>
        <w:rPr>
          <w:rFonts w:ascii="Century Gothic" w:hAnsi="Century Gothic"/>
          <w:b w:val="0"/>
          <w:i/>
          <w:sz w:val="24"/>
          <w:szCs w:val="24"/>
        </w:rPr>
      </w:pPr>
    </w:p>
    <w:p w:rsidR="00A73086" w:rsidRDefault="00A73086" w:rsidP="00A7308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73086" w:rsidRPr="00731098" w:rsidRDefault="00A73086" w:rsidP="00A7308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3086" w:rsidRPr="0091370E" w:rsidTr="00F534C8">
        <w:tc>
          <w:tcPr>
            <w:tcW w:w="8934" w:type="dxa"/>
            <w:shd w:val="clear" w:color="auto" w:fill="auto"/>
          </w:tcPr>
          <w:p w:rsidR="00A73086" w:rsidRPr="0091370E" w:rsidRDefault="00A73086" w:rsidP="00CC29B0">
            <w:pPr>
              <w:pStyle w:val="Textosinformato"/>
              <w:rPr>
                <w:rFonts w:eastAsia="Calibri"/>
                <w:szCs w:val="24"/>
              </w:rPr>
            </w:pPr>
            <w:r w:rsidRPr="0091370E">
              <w:rPr>
                <w:rFonts w:eastAsia="Calibri"/>
                <w:b/>
                <w:szCs w:val="24"/>
              </w:rPr>
              <w:t>ACU/SS/</w:t>
            </w:r>
            <w:r w:rsidR="00D90553">
              <w:rPr>
                <w:rFonts w:eastAsia="Calibri"/>
                <w:b/>
                <w:szCs w:val="24"/>
              </w:rPr>
              <w:t>02/69</w:t>
            </w:r>
            <w:r>
              <w:rPr>
                <w:rFonts w:eastAsia="Calibri"/>
                <w:b/>
                <w:szCs w:val="24"/>
              </w:rPr>
              <w:t>/E/2021</w:t>
            </w:r>
            <w:r w:rsidRPr="0091370E">
              <w:rPr>
                <w:rFonts w:eastAsia="Calibri"/>
                <w:b/>
                <w:szCs w:val="24"/>
              </w:rPr>
              <w:t xml:space="preserve">. </w:t>
            </w:r>
            <w:r w:rsidR="00516913"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w:t>
            </w:r>
            <w:r w:rsidR="00CC29B0">
              <w:rPr>
                <w:rFonts w:eastAsia="Calibri"/>
                <w:szCs w:val="24"/>
              </w:rPr>
              <w:t>alisco, aprobaron por unanimidad</w:t>
            </w:r>
            <w:r>
              <w:rPr>
                <w:rFonts w:eastAsia="Calibri"/>
                <w:szCs w:val="24"/>
              </w:rPr>
              <w:t xml:space="preserve"> de votos el proyect</w:t>
            </w:r>
            <w:r w:rsidR="005F12F1">
              <w:rPr>
                <w:rFonts w:eastAsia="Calibri"/>
                <w:szCs w:val="24"/>
              </w:rPr>
              <w:t xml:space="preserve">o de </w:t>
            </w:r>
            <w:r w:rsidR="0010367F">
              <w:rPr>
                <w:rFonts w:eastAsia="Calibri"/>
                <w:szCs w:val="24"/>
              </w:rPr>
              <w:t>s</w:t>
            </w:r>
            <w:r w:rsidR="00D53897">
              <w:rPr>
                <w:rFonts w:eastAsia="Calibri"/>
                <w:szCs w:val="24"/>
              </w:rPr>
              <w:t>entencia del expediente</w:t>
            </w:r>
            <w:r w:rsidR="00D90553">
              <w:rPr>
                <w:rFonts w:eastAsia="Calibri"/>
                <w:szCs w:val="24"/>
              </w:rPr>
              <w:t xml:space="preserve"> 249</w:t>
            </w:r>
            <w:r w:rsidR="00DF164B">
              <w:rPr>
                <w:rFonts w:eastAsia="Calibri"/>
                <w:szCs w:val="24"/>
              </w:rPr>
              <w:t>/2020</w:t>
            </w:r>
            <w:r w:rsidR="005F12F1">
              <w:rPr>
                <w:rFonts w:eastAsia="Calibri"/>
                <w:szCs w:val="24"/>
              </w:rPr>
              <w:t xml:space="preserve"> </w:t>
            </w:r>
            <w:r w:rsidR="009428C7">
              <w:rPr>
                <w:rFonts w:eastAsia="Calibri"/>
                <w:szCs w:val="24"/>
              </w:rPr>
              <w:t>Recurso de Reclam</w:t>
            </w:r>
            <w:r w:rsidR="007E3B50">
              <w:rPr>
                <w:rFonts w:eastAsia="Calibri"/>
                <w:szCs w:val="24"/>
              </w:rPr>
              <w:t>ación</w:t>
            </w:r>
            <w:r>
              <w:rPr>
                <w:rFonts w:eastAsia="Calibri"/>
                <w:szCs w:val="24"/>
              </w:rPr>
              <w:t xml:space="preserve">.  </w:t>
            </w:r>
          </w:p>
        </w:tc>
      </w:tr>
    </w:tbl>
    <w:p w:rsidR="003178B5" w:rsidRDefault="003178B5" w:rsidP="003041CF">
      <w:pPr>
        <w:pStyle w:val="Textosinformato"/>
        <w:rPr>
          <w:b/>
          <w:szCs w:val="24"/>
          <w:lang w:val="es-MX"/>
        </w:rPr>
      </w:pPr>
    </w:p>
    <w:p w:rsidR="00D90553" w:rsidRDefault="00D90553" w:rsidP="00D90553">
      <w:pPr>
        <w:pStyle w:val="Textosinformato"/>
        <w:jc w:val="center"/>
        <w:rPr>
          <w:b/>
          <w:szCs w:val="24"/>
        </w:rPr>
      </w:pPr>
      <w:r>
        <w:rPr>
          <w:b/>
          <w:szCs w:val="24"/>
        </w:rPr>
        <w:t>- 5</w:t>
      </w:r>
      <w:r w:rsidRPr="0052553A">
        <w:rPr>
          <w:b/>
          <w:szCs w:val="24"/>
        </w:rPr>
        <w:t xml:space="preserve"> </w:t>
      </w:r>
      <w:r>
        <w:rPr>
          <w:b/>
          <w:szCs w:val="24"/>
        </w:rPr>
        <w:t>–</w:t>
      </w:r>
    </w:p>
    <w:p w:rsidR="00D90553" w:rsidRPr="0052553A" w:rsidRDefault="00D90553" w:rsidP="00D90553">
      <w:pPr>
        <w:pStyle w:val="Textosinformato"/>
        <w:rPr>
          <w:b/>
          <w:szCs w:val="24"/>
        </w:rPr>
      </w:pPr>
    </w:p>
    <w:p w:rsidR="00D90553" w:rsidRDefault="00D90553" w:rsidP="00D90553">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Recurso de Apelación 355/2015 </w:t>
      </w:r>
      <w:r w:rsidRPr="0052553A">
        <w:rPr>
          <w:rFonts w:ascii="Century Gothic" w:hAnsi="Century Gothic"/>
          <w:b w:val="0"/>
          <w:sz w:val="24"/>
          <w:szCs w:val="24"/>
        </w:rPr>
        <w:t>en cumpl</w:t>
      </w:r>
      <w:r>
        <w:rPr>
          <w:rFonts w:ascii="Century Gothic" w:hAnsi="Century Gothic"/>
          <w:b w:val="0"/>
          <w:sz w:val="24"/>
          <w:szCs w:val="24"/>
        </w:rPr>
        <w:t>imiento al Juicio de Amparo 210/2019 del Segundo Tribunal Colegiado en Materia Administrativa del Tercer Circuito.</w:t>
      </w:r>
    </w:p>
    <w:p w:rsidR="00D90553" w:rsidRPr="0054501A" w:rsidRDefault="00D90553" w:rsidP="00D90553">
      <w:pPr>
        <w:pStyle w:val="Sangradetextonormal"/>
        <w:ind w:left="-142" w:firstLine="0"/>
        <w:jc w:val="both"/>
        <w:rPr>
          <w:rFonts w:ascii="Century Gothic" w:hAnsi="Century Gothic"/>
          <w:b w:val="0"/>
          <w:i/>
          <w:sz w:val="24"/>
          <w:szCs w:val="24"/>
        </w:rPr>
      </w:pPr>
    </w:p>
    <w:p w:rsidR="00D90553" w:rsidRDefault="00D90553" w:rsidP="00D9055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90553" w:rsidRPr="00731098" w:rsidRDefault="00D90553" w:rsidP="00D9055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90553" w:rsidRPr="0091370E" w:rsidTr="00E40F72">
        <w:tc>
          <w:tcPr>
            <w:tcW w:w="8934" w:type="dxa"/>
            <w:shd w:val="clear" w:color="auto" w:fill="auto"/>
          </w:tcPr>
          <w:p w:rsidR="00D90553" w:rsidRPr="0091370E" w:rsidRDefault="00D90553" w:rsidP="00E40F72">
            <w:pPr>
              <w:pStyle w:val="Textosinformato"/>
              <w:rPr>
                <w:rFonts w:eastAsia="Calibri"/>
                <w:szCs w:val="24"/>
              </w:rPr>
            </w:pPr>
            <w:r w:rsidRPr="0091370E">
              <w:rPr>
                <w:rFonts w:eastAsia="Calibri"/>
                <w:b/>
                <w:szCs w:val="24"/>
              </w:rPr>
              <w:t>ACU/SS/</w:t>
            </w:r>
            <w:r>
              <w:rPr>
                <w:rFonts w:eastAsia="Calibri"/>
                <w:b/>
                <w:szCs w:val="24"/>
              </w:rPr>
              <w:t>03</w:t>
            </w:r>
            <w:r>
              <w:rPr>
                <w:rFonts w:eastAsia="Calibri"/>
                <w:b/>
                <w:szCs w:val="24"/>
              </w:rPr>
              <w:t>/69/E/2021</w:t>
            </w:r>
            <w:r w:rsidRPr="0091370E">
              <w:rPr>
                <w:rFonts w:eastAsia="Calibri"/>
                <w:b/>
                <w:szCs w:val="24"/>
              </w:rPr>
              <w:t xml:space="preserve">. </w:t>
            </w:r>
            <w:r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 de sentencia del expediente</w:t>
            </w:r>
            <w:r>
              <w:rPr>
                <w:rFonts w:eastAsia="Calibri"/>
                <w:szCs w:val="24"/>
              </w:rPr>
              <w:t xml:space="preserve"> 355/2015</w:t>
            </w:r>
            <w:r>
              <w:rPr>
                <w:rFonts w:eastAsia="Calibri"/>
                <w:szCs w:val="24"/>
              </w:rPr>
              <w:t xml:space="preserve"> </w:t>
            </w:r>
            <w:r>
              <w:rPr>
                <w:rFonts w:eastAsia="Calibri"/>
                <w:szCs w:val="24"/>
              </w:rPr>
              <w:t>Recurso de Apel</w:t>
            </w:r>
            <w:r>
              <w:rPr>
                <w:rFonts w:eastAsia="Calibri"/>
                <w:szCs w:val="24"/>
              </w:rPr>
              <w:t xml:space="preserve">ación.  </w:t>
            </w:r>
          </w:p>
        </w:tc>
      </w:tr>
    </w:tbl>
    <w:p w:rsidR="00D90553" w:rsidRDefault="00D90553" w:rsidP="003041CF">
      <w:pPr>
        <w:pStyle w:val="Textosinformato"/>
        <w:rPr>
          <w:b/>
          <w:szCs w:val="24"/>
          <w:lang w:val="es-MX"/>
        </w:rPr>
      </w:pPr>
    </w:p>
    <w:p w:rsidR="00D90553" w:rsidRDefault="00D90553" w:rsidP="00D90553">
      <w:pPr>
        <w:pStyle w:val="Textosinformato"/>
        <w:jc w:val="center"/>
        <w:rPr>
          <w:b/>
          <w:szCs w:val="24"/>
        </w:rPr>
      </w:pPr>
      <w:r>
        <w:rPr>
          <w:b/>
          <w:szCs w:val="24"/>
        </w:rPr>
        <w:t>- 6</w:t>
      </w:r>
      <w:r w:rsidRPr="0052553A">
        <w:rPr>
          <w:b/>
          <w:szCs w:val="24"/>
        </w:rPr>
        <w:t xml:space="preserve"> </w:t>
      </w:r>
      <w:r>
        <w:rPr>
          <w:b/>
          <w:szCs w:val="24"/>
        </w:rPr>
        <w:t>–</w:t>
      </w:r>
    </w:p>
    <w:p w:rsidR="00D90553" w:rsidRPr="0052553A" w:rsidRDefault="00D90553" w:rsidP="00D90553">
      <w:pPr>
        <w:pStyle w:val="Textosinformato"/>
        <w:rPr>
          <w:b/>
          <w:szCs w:val="24"/>
        </w:rPr>
      </w:pPr>
    </w:p>
    <w:p w:rsidR="00D90553" w:rsidRDefault="00D90553" w:rsidP="00D90553">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Juicio de Responsabilidad Patrimonial 152/2017 </w:t>
      </w:r>
      <w:r w:rsidRPr="0052553A">
        <w:rPr>
          <w:rFonts w:ascii="Century Gothic" w:hAnsi="Century Gothic"/>
          <w:b w:val="0"/>
          <w:sz w:val="24"/>
          <w:szCs w:val="24"/>
        </w:rPr>
        <w:t>en cumpl</w:t>
      </w:r>
      <w:r>
        <w:rPr>
          <w:rFonts w:ascii="Century Gothic" w:hAnsi="Century Gothic"/>
          <w:b w:val="0"/>
          <w:sz w:val="24"/>
          <w:szCs w:val="24"/>
        </w:rPr>
        <w:t>imiento al Juicio de Amparo 203/2019 del Segundo Tribunal Colegiado en Materia Administrativa del Tercer Circuito.</w:t>
      </w:r>
    </w:p>
    <w:p w:rsidR="00D90553" w:rsidRPr="0054501A" w:rsidRDefault="00D90553" w:rsidP="00D90553">
      <w:pPr>
        <w:pStyle w:val="Sangradetextonormal"/>
        <w:ind w:left="-142" w:firstLine="0"/>
        <w:jc w:val="both"/>
        <w:rPr>
          <w:rFonts w:ascii="Century Gothic" w:hAnsi="Century Gothic"/>
          <w:b w:val="0"/>
          <w:i/>
          <w:sz w:val="24"/>
          <w:szCs w:val="24"/>
        </w:rPr>
      </w:pPr>
    </w:p>
    <w:p w:rsidR="00D90553" w:rsidRDefault="00D90553" w:rsidP="00D9055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90553" w:rsidRPr="00731098" w:rsidRDefault="00D90553" w:rsidP="00D9055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90553" w:rsidRPr="0091370E" w:rsidTr="00E40F72">
        <w:tc>
          <w:tcPr>
            <w:tcW w:w="8934" w:type="dxa"/>
            <w:shd w:val="clear" w:color="auto" w:fill="auto"/>
          </w:tcPr>
          <w:p w:rsidR="00D90553" w:rsidRPr="0091370E" w:rsidRDefault="00D90553" w:rsidP="00B97D82">
            <w:pPr>
              <w:pStyle w:val="Textosinformato"/>
              <w:rPr>
                <w:rFonts w:eastAsia="Calibri"/>
                <w:szCs w:val="24"/>
              </w:rPr>
            </w:pPr>
            <w:r w:rsidRPr="0091370E">
              <w:rPr>
                <w:rFonts w:eastAsia="Calibri"/>
                <w:b/>
                <w:szCs w:val="24"/>
              </w:rPr>
              <w:t>ACU/SS/</w:t>
            </w:r>
            <w:r>
              <w:rPr>
                <w:rFonts w:eastAsia="Calibri"/>
                <w:b/>
                <w:szCs w:val="24"/>
              </w:rPr>
              <w:t>04</w:t>
            </w:r>
            <w:r>
              <w:rPr>
                <w:rFonts w:eastAsia="Calibri"/>
                <w:b/>
                <w:szCs w:val="24"/>
              </w:rPr>
              <w:t>/69/E/2021</w:t>
            </w:r>
            <w:r w:rsidRPr="0091370E">
              <w:rPr>
                <w:rFonts w:eastAsia="Calibri"/>
                <w:b/>
                <w:szCs w:val="24"/>
              </w:rPr>
              <w:t xml:space="preserve">. </w:t>
            </w:r>
            <w:r w:rsidR="00B97D82" w:rsidRPr="00B97D82">
              <w:rPr>
                <w:rFonts w:eastAsia="Calibri"/>
                <w:szCs w:val="24"/>
                <w:lang w:val="es-MX"/>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 de sentencia del expediente</w:t>
            </w:r>
            <w:r w:rsidR="00B97D82">
              <w:rPr>
                <w:rFonts w:eastAsia="Calibri"/>
                <w:szCs w:val="24"/>
              </w:rPr>
              <w:t xml:space="preserve"> 152/2017</w:t>
            </w:r>
            <w:r>
              <w:rPr>
                <w:rFonts w:eastAsia="Calibri"/>
                <w:szCs w:val="24"/>
              </w:rPr>
              <w:t xml:space="preserve"> </w:t>
            </w:r>
            <w:r w:rsidR="00B97D82">
              <w:rPr>
                <w:rFonts w:eastAsia="Calibri"/>
                <w:szCs w:val="24"/>
              </w:rPr>
              <w:t>Juicio de Responsabilidad Patrimonial</w:t>
            </w:r>
            <w:r>
              <w:rPr>
                <w:rFonts w:eastAsia="Calibri"/>
                <w:szCs w:val="24"/>
              </w:rPr>
              <w:t xml:space="preserve">.  </w:t>
            </w:r>
          </w:p>
        </w:tc>
      </w:tr>
    </w:tbl>
    <w:p w:rsidR="00D90553" w:rsidRPr="0010367F" w:rsidRDefault="00D90553" w:rsidP="003041CF">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w:t>
      </w:r>
      <w:proofErr w:type="gramStart"/>
      <w:r w:rsidRPr="0091370E">
        <w:rPr>
          <w:szCs w:val="24"/>
        </w:rPr>
        <w:t>que</w:t>
      </w:r>
      <w:proofErr w:type="gramEnd"/>
      <w:r w:rsidRPr="0091370E">
        <w:rPr>
          <w:szCs w:val="24"/>
        </w:rPr>
        <w:t xml:space="preserv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Pr="00F5573A"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B97D82">
        <w:rPr>
          <w:b/>
          <w:szCs w:val="24"/>
        </w:rPr>
        <w:t xml:space="preserve"> horas con veinticinco</w:t>
      </w:r>
      <w:r>
        <w:rPr>
          <w:b/>
          <w:szCs w:val="24"/>
        </w:rPr>
        <w:t xml:space="preserve"> </w:t>
      </w:r>
      <w:r w:rsidRPr="0091370E">
        <w:rPr>
          <w:b/>
          <w:szCs w:val="24"/>
        </w:rPr>
        <w:t>minutos</w:t>
      </w:r>
      <w:r w:rsidRPr="0091370E">
        <w:rPr>
          <w:szCs w:val="24"/>
        </w:rPr>
        <w:t xml:space="preserve"> del </w:t>
      </w:r>
      <w:r w:rsidR="00B97D82">
        <w:rPr>
          <w:b/>
          <w:szCs w:val="24"/>
        </w:rPr>
        <w:t>catorce de jul</w:t>
      </w:r>
      <w:r w:rsidR="006F3FCD">
        <w:rPr>
          <w:b/>
          <w:szCs w:val="24"/>
        </w:rPr>
        <w:t>io</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7E3B50">
        <w:rPr>
          <w:szCs w:val="24"/>
        </w:rPr>
        <w:t>--</w:t>
      </w:r>
      <w:r w:rsidR="00DF164B">
        <w:rPr>
          <w:szCs w:val="24"/>
        </w:rPr>
        <w:t>-----------------------------------------------------------------------------------------</w:t>
      </w: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10367F" w:rsidRDefault="0010367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9C5D24">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w:t>
      </w:r>
      <w:bookmarkStart w:id="0" w:name="_GoBack"/>
      <w:bookmarkEnd w:id="0"/>
      <w:r>
        <w:rPr>
          <w:rFonts w:ascii="Century Gothic" w:eastAsia="Times New Roman" w:hAnsi="Century Gothic" w:cs="Times New Roman"/>
          <w:b/>
          <w:sz w:val="24"/>
          <w:szCs w:val="24"/>
          <w:lang w:val="es-ES" w:eastAsia="es-ES"/>
        </w:rPr>
        <w:t>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B97D82">
      <w:rPr>
        <w:rStyle w:val="Nmerodepgina"/>
        <w:noProof/>
      </w:rPr>
      <w:t>4</w:t>
    </w:r>
    <w:r>
      <w:rPr>
        <w:rStyle w:val="Nmerodepgina"/>
      </w:rPr>
      <w:fldChar w:fldCharType="end"/>
    </w:r>
    <w:r w:rsidR="00B97D82">
      <w:rPr>
        <w:rStyle w:val="Nmerodepgina"/>
        <w:sz w:val="18"/>
      </w:rPr>
      <w:t>/4</w:t>
    </w:r>
  </w:p>
  <w:p w:rsidR="007A710B" w:rsidRPr="0052553A" w:rsidRDefault="00D0010A" w:rsidP="00BE4F1A">
    <w:pPr>
      <w:pStyle w:val="Piedepgina"/>
      <w:jc w:val="right"/>
      <w:rPr>
        <w:rStyle w:val="Nmerodepgina"/>
        <w:rFonts w:ascii="Century Gothic" w:hAnsi="Century Gothic"/>
        <w:smallCaps/>
      </w:rPr>
    </w:pPr>
    <w:r>
      <w:rPr>
        <w:rStyle w:val="Nmerodepgina"/>
        <w:rFonts w:ascii="Century Gothic" w:hAnsi="Century Gothic"/>
        <w:smallCaps/>
      </w:rPr>
      <w:tab/>
    </w:r>
    <w:r w:rsidR="004C00DF">
      <w:rPr>
        <w:rStyle w:val="Nmerodepgina"/>
        <w:rFonts w:ascii="Century Gothic" w:hAnsi="Century Gothic"/>
        <w:smallCaps/>
      </w:rPr>
      <w:t>SEXAGÉSIMA</w:t>
    </w:r>
    <w:r w:rsidR="006F3FCD">
      <w:rPr>
        <w:rStyle w:val="Nmerodepgina"/>
        <w:rFonts w:ascii="Century Gothic" w:hAnsi="Century Gothic"/>
        <w:smallCaps/>
      </w:rPr>
      <w:t xml:space="preserve"> </w:t>
    </w:r>
    <w:r w:rsidR="00B97D82">
      <w:rPr>
        <w:rStyle w:val="Nmerodepgina"/>
        <w:rFonts w:ascii="Century Gothic" w:hAnsi="Century Gothic"/>
        <w:smallCaps/>
      </w:rPr>
      <w:t xml:space="preserve">NOVENA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B97D82">
      <w:rPr>
        <w:rStyle w:val="Nmerodepgina"/>
        <w:rFonts w:ascii="Century Gothic" w:hAnsi="Century Gothic"/>
        <w:smallCaps/>
      </w:rPr>
      <w:t>CATORCE DE JULIO</w:t>
    </w:r>
    <w:r>
      <w:rPr>
        <w:rStyle w:val="Nmerodepgina"/>
        <w:rFonts w:ascii="Century Gothic" w:hAnsi="Century Gothic"/>
        <w:smallCaps/>
      </w:rPr>
      <w:t xml:space="preserve"> DE DOS MIL VEINTIUNO</w:t>
    </w:r>
  </w:p>
  <w:p w:rsidR="007A710B" w:rsidRDefault="00B97D82" w:rsidP="007A710B">
    <w:pPr>
      <w:pStyle w:val="Piedepgina"/>
    </w:pPr>
  </w:p>
  <w:p w:rsidR="00F13EE9" w:rsidRPr="007A710B" w:rsidRDefault="00B97D82"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32788"/>
    <w:rsid w:val="0010367F"/>
    <w:rsid w:val="001123FD"/>
    <w:rsid w:val="001723F9"/>
    <w:rsid w:val="002228CE"/>
    <w:rsid w:val="00283650"/>
    <w:rsid w:val="002C2C7E"/>
    <w:rsid w:val="003041CF"/>
    <w:rsid w:val="003178B5"/>
    <w:rsid w:val="00384412"/>
    <w:rsid w:val="00490D33"/>
    <w:rsid w:val="004B7F6C"/>
    <w:rsid w:val="004C00DF"/>
    <w:rsid w:val="00516913"/>
    <w:rsid w:val="005F12F1"/>
    <w:rsid w:val="00602514"/>
    <w:rsid w:val="006D5232"/>
    <w:rsid w:val="006F3FCD"/>
    <w:rsid w:val="007538E8"/>
    <w:rsid w:val="00777F54"/>
    <w:rsid w:val="007E3B50"/>
    <w:rsid w:val="007F3043"/>
    <w:rsid w:val="009428C7"/>
    <w:rsid w:val="009C5D24"/>
    <w:rsid w:val="009F3DC7"/>
    <w:rsid w:val="00A0250B"/>
    <w:rsid w:val="00A0277B"/>
    <w:rsid w:val="00A078FD"/>
    <w:rsid w:val="00A73086"/>
    <w:rsid w:val="00A91123"/>
    <w:rsid w:val="00AD259C"/>
    <w:rsid w:val="00AD5BEB"/>
    <w:rsid w:val="00B23258"/>
    <w:rsid w:val="00B97D82"/>
    <w:rsid w:val="00BA16C6"/>
    <w:rsid w:val="00BA4298"/>
    <w:rsid w:val="00C40EE6"/>
    <w:rsid w:val="00C73E60"/>
    <w:rsid w:val="00C94685"/>
    <w:rsid w:val="00CB0B24"/>
    <w:rsid w:val="00CC29B0"/>
    <w:rsid w:val="00CD3C05"/>
    <w:rsid w:val="00D0010A"/>
    <w:rsid w:val="00D53897"/>
    <w:rsid w:val="00D83F69"/>
    <w:rsid w:val="00D90553"/>
    <w:rsid w:val="00DF164B"/>
    <w:rsid w:val="00ED0DFC"/>
    <w:rsid w:val="00F34ED1"/>
    <w:rsid w:val="00F5573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1354</Words>
  <Characters>7453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2021-07-05T19:12:00Z</cp:lastPrinted>
  <dcterms:created xsi:type="dcterms:W3CDTF">2021-08-06T18:24:00Z</dcterms:created>
  <dcterms:modified xsi:type="dcterms:W3CDTF">2021-08-06T18:24:00Z</dcterms:modified>
</cp:coreProperties>
</file>