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="00ED34A1">
        <w:rPr>
          <w:rFonts w:ascii="Century Gothic" w:hAnsi="Century Gothic"/>
          <w:b/>
          <w:sz w:val="24"/>
          <w:szCs w:val="24"/>
        </w:rPr>
        <w:t>Quinta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42472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D34A1">
        <w:rPr>
          <w:rFonts w:ascii="Century Gothic" w:hAnsi="Century Gothic"/>
          <w:b/>
          <w:sz w:val="24"/>
          <w:szCs w:val="24"/>
        </w:rPr>
        <w:t>veinte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B3799" w:rsidRPr="0052553A" w:rsidRDefault="003B3799" w:rsidP="003B379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B3799" w:rsidRPr="003041CF" w:rsidRDefault="003B3799" w:rsidP="003B379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B3799" w:rsidRPr="00ED34A1" w:rsidRDefault="003B3799" w:rsidP="00ED34A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="00ED34A1">
        <w:rPr>
          <w:rFonts w:ascii="Century Gothic" w:hAnsi="Century Gothic"/>
          <w:b w:val="0"/>
          <w:sz w:val="24"/>
          <w:szCs w:val="24"/>
        </w:rPr>
        <w:t>11479</w:t>
      </w:r>
      <w:r w:rsidRPr="00ED34A1">
        <w:rPr>
          <w:rFonts w:ascii="Century Gothic" w:hAnsi="Century Gothic"/>
          <w:b w:val="0"/>
          <w:sz w:val="24"/>
          <w:szCs w:val="24"/>
        </w:rPr>
        <w:t>/2021 que remite el S</w:t>
      </w:r>
      <w:r w:rsidR="00ED34A1">
        <w:rPr>
          <w:rFonts w:ascii="Century Gothic" w:hAnsi="Century Gothic"/>
          <w:b w:val="0"/>
          <w:sz w:val="24"/>
          <w:szCs w:val="24"/>
        </w:rPr>
        <w:t>ecretario de Acuerdos del Segundo</w:t>
      </w:r>
      <w:r w:rsidRPr="00ED34A1">
        <w:rPr>
          <w:rFonts w:ascii="Century Gothic" w:hAnsi="Century Gothic"/>
          <w:b w:val="0"/>
          <w:sz w:val="24"/>
          <w:szCs w:val="24"/>
        </w:rPr>
        <w:t xml:space="preserve"> Tribunal Colegiado en Materia de Trabajo del Tercer Circuito, relati</w:t>
      </w:r>
      <w:r w:rsidR="00ED34A1">
        <w:rPr>
          <w:rFonts w:ascii="Century Gothic" w:hAnsi="Century Gothic"/>
          <w:b w:val="0"/>
          <w:sz w:val="24"/>
          <w:szCs w:val="24"/>
        </w:rPr>
        <w:t>vo al Juicio de Amparo número 221/2019</w:t>
      </w:r>
      <w:r w:rsidRPr="00ED34A1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referido.</w:t>
      </w:r>
    </w:p>
    <w:p w:rsidR="000E14AC" w:rsidRPr="000E14AC" w:rsidRDefault="003B3799" w:rsidP="003B379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</w:t>
      </w:r>
      <w:r w:rsidR="00ED34A1">
        <w:rPr>
          <w:rFonts w:ascii="Century Gothic" w:hAnsi="Century Gothic"/>
          <w:b w:val="0"/>
          <w:sz w:val="24"/>
          <w:szCs w:val="24"/>
        </w:rPr>
        <w:t>expediente del Recurso de Apelación 206/2019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 w:rsidR="00ED34A1">
        <w:rPr>
          <w:rFonts w:ascii="Century Gothic" w:hAnsi="Century Gothic"/>
          <w:b w:val="0"/>
          <w:sz w:val="24"/>
          <w:szCs w:val="24"/>
        </w:rPr>
        <w:t>imiento al Juicio de Amparo 221/2019 del Segundo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de Trabajo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D34A1">
        <w:rPr>
          <w:rFonts w:ascii="Century Gothic" w:hAnsi="Century Gothic"/>
          <w:b/>
          <w:sz w:val="24"/>
          <w:szCs w:val="24"/>
        </w:rPr>
        <w:t>DIECINUEVE</w:t>
      </w:r>
      <w:bookmarkStart w:id="0" w:name="_GoBack"/>
      <w:bookmarkEnd w:id="0"/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ED34A1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D34A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ED34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B379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ED34A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ED34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B3799"/>
    <w:rsid w:val="003C7B98"/>
    <w:rsid w:val="00411734"/>
    <w:rsid w:val="00430C40"/>
    <w:rsid w:val="004756D7"/>
    <w:rsid w:val="004E0281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D46FBB"/>
    <w:rsid w:val="00E249CE"/>
    <w:rsid w:val="00E53136"/>
    <w:rsid w:val="00E74CE5"/>
    <w:rsid w:val="00E75AF3"/>
    <w:rsid w:val="00EB7D38"/>
    <w:rsid w:val="00ED34A1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2021-08-23T15:47:00Z</dcterms:created>
  <dcterms:modified xsi:type="dcterms:W3CDTF">2021-08-23T15:47:00Z</dcterms:modified>
</cp:coreProperties>
</file>