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F2E8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ED0DFC">
        <w:rPr>
          <w:rFonts w:ascii="Century Gothic" w:eastAsia="Times New Roman" w:hAnsi="Century Gothic" w:cs="Verdana"/>
          <w:b/>
          <w:sz w:val="28"/>
          <w:szCs w:val="28"/>
          <w:lang w:val="es-ES" w:eastAsia="es-ES"/>
        </w:rPr>
        <w:t xml:space="preserve"> </w:t>
      </w:r>
      <w:r w:rsidR="00AC73A0">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AC73A0">
        <w:rPr>
          <w:rFonts w:ascii="Century Gothic" w:eastAsia="Times New Roman" w:hAnsi="Century Gothic" w:cs="Verdana"/>
          <w:b/>
          <w:sz w:val="24"/>
          <w:szCs w:val="24"/>
          <w:lang w:val="es-ES" w:eastAsia="es-ES"/>
        </w:rPr>
        <w:t>diez</w:t>
      </w:r>
      <w:r w:rsidR="00D53897">
        <w:rPr>
          <w:rFonts w:ascii="Century Gothic" w:eastAsia="Times New Roman" w:hAnsi="Century Gothic" w:cs="Verdana"/>
          <w:b/>
          <w:sz w:val="24"/>
          <w:szCs w:val="24"/>
          <w:lang w:val="es-ES" w:eastAsia="es-ES"/>
        </w:rPr>
        <w:t xml:space="preserve"> de </w:t>
      </w:r>
      <w:r w:rsidR="00DF2E8A">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2E8A">
        <w:rPr>
          <w:rFonts w:ascii="Century Gothic" w:eastAsia="Times New Roman" w:hAnsi="Century Gothic" w:cs="Verdana"/>
          <w:b/>
          <w:sz w:val="24"/>
          <w:szCs w:val="24"/>
          <w:lang w:val="es-ES" w:eastAsia="es-ES"/>
        </w:rPr>
        <w:t>Septuagésima</w:t>
      </w:r>
      <w:r w:rsidR="00602514">
        <w:rPr>
          <w:rFonts w:ascii="Century Gothic" w:eastAsia="Times New Roman" w:hAnsi="Century Gothic" w:cs="Verdana"/>
          <w:b/>
          <w:sz w:val="24"/>
          <w:szCs w:val="24"/>
          <w:lang w:val="es-ES" w:eastAsia="es-ES"/>
        </w:rPr>
        <w:t xml:space="preserve"> </w:t>
      </w:r>
      <w:r w:rsidR="00913A23">
        <w:rPr>
          <w:rFonts w:ascii="Century Gothic" w:eastAsia="Times New Roman" w:hAnsi="Century Gothic" w:cs="Verdana"/>
          <w:b/>
          <w:sz w:val="24"/>
          <w:szCs w:val="24"/>
          <w:lang w:val="es-ES" w:eastAsia="es-ES"/>
        </w:rPr>
        <w:t xml:space="preserve">Primera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913A23">
        <w:rPr>
          <w:rFonts w:ascii="Century Gothic" w:hAnsi="Century Gothic"/>
          <w:b w:val="0"/>
          <w:sz w:val="24"/>
          <w:szCs w:val="24"/>
        </w:rPr>
        <w:t>4111</w:t>
      </w:r>
      <w:r w:rsidR="00ED0DFC">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913A23">
        <w:rPr>
          <w:rFonts w:ascii="Century Gothic" w:hAnsi="Century Gothic"/>
          <w:b w:val="0"/>
          <w:sz w:val="24"/>
          <w:szCs w:val="24"/>
        </w:rPr>
        <w:t>Primer</w:t>
      </w:r>
      <w:r w:rsidR="00BA4298">
        <w:rPr>
          <w:rFonts w:ascii="Century Gothic" w:hAnsi="Century Gothic"/>
          <w:b w:val="0"/>
          <w:sz w:val="24"/>
          <w:szCs w:val="24"/>
        </w:rPr>
        <w:t xml:space="preserve"> Tribunal Colegiado en Materia </w:t>
      </w:r>
      <w:r w:rsidR="00913A23">
        <w:rPr>
          <w:rFonts w:ascii="Century Gothic" w:hAnsi="Century Gothic"/>
          <w:b w:val="0"/>
          <w:sz w:val="24"/>
          <w:szCs w:val="24"/>
        </w:rPr>
        <w:t>de Trabajo</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913A23">
        <w:rPr>
          <w:rFonts w:ascii="Century Gothic" w:hAnsi="Century Gothic"/>
          <w:b w:val="0"/>
          <w:sz w:val="24"/>
          <w:szCs w:val="24"/>
        </w:rPr>
        <w:lastRenderedPageBreak/>
        <w:t>al Juicio de Amparo número 208</w:t>
      </w:r>
      <w:r w:rsidR="00DF2E8A">
        <w:rPr>
          <w:rFonts w:ascii="Century Gothic" w:hAnsi="Century Gothic"/>
          <w:b w:val="0"/>
          <w:sz w:val="24"/>
          <w:szCs w:val="24"/>
        </w:rPr>
        <w:t>/2021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913A23"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913A23">
        <w:rPr>
          <w:rFonts w:ascii="Century Gothic" w:hAnsi="Century Gothic"/>
          <w:b w:val="0"/>
          <w:sz w:val="24"/>
          <w:szCs w:val="24"/>
        </w:rPr>
        <w:t>Conflicto Laboral 03/2011</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913A23">
        <w:rPr>
          <w:rFonts w:ascii="Century Gothic" w:hAnsi="Century Gothic"/>
          <w:b w:val="0"/>
          <w:sz w:val="24"/>
          <w:szCs w:val="24"/>
        </w:rPr>
        <w:t xml:space="preserve"> Amparo 208/2020</w:t>
      </w:r>
      <w:r>
        <w:rPr>
          <w:rFonts w:ascii="Century Gothic" w:hAnsi="Century Gothic"/>
          <w:b w:val="0"/>
          <w:sz w:val="24"/>
          <w:szCs w:val="24"/>
        </w:rPr>
        <w:t xml:space="preserve"> del </w:t>
      </w:r>
      <w:r w:rsidR="00913A23">
        <w:rPr>
          <w:rFonts w:ascii="Century Gothic" w:hAnsi="Century Gothic"/>
          <w:b w:val="0"/>
          <w:sz w:val="24"/>
          <w:szCs w:val="24"/>
        </w:rPr>
        <w:t>Primer</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de Trabajo</w:t>
      </w:r>
      <w:r w:rsidR="00810462">
        <w:rPr>
          <w:rFonts w:ascii="Century Gothic" w:hAnsi="Century Gothic"/>
          <w:b w:val="0"/>
          <w:sz w:val="24"/>
          <w:szCs w:val="24"/>
        </w:rPr>
        <w:t xml:space="preserve"> del Tercer Circuito;</w:t>
      </w:r>
    </w:p>
    <w:p w:rsidR="00810462" w:rsidRPr="00810462" w:rsidRDefault="00913A23" w:rsidP="000F2910">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la Aclaración de Sentencia del expediente del Recurso de Apelación 602/2021</w:t>
      </w:r>
      <w:r w:rsidR="00810462">
        <w:rPr>
          <w:rFonts w:ascii="Century Gothic" w:hAnsi="Century Gothic"/>
          <w:b w:val="0"/>
          <w:sz w:val="24"/>
          <w:szCs w:val="24"/>
        </w:rPr>
        <w:t>;</w:t>
      </w:r>
    </w:p>
    <w:p w:rsidR="00DF2E8A" w:rsidRDefault="00810462" w:rsidP="000F2910">
      <w:pPr>
        <w:pStyle w:val="Sangradetextonormal"/>
        <w:numPr>
          <w:ilvl w:val="0"/>
          <w:numId w:val="1"/>
        </w:numPr>
        <w:jc w:val="both"/>
        <w:rPr>
          <w:szCs w:val="24"/>
        </w:rPr>
      </w:pPr>
      <w:r>
        <w:rPr>
          <w:rFonts w:ascii="Century Gothic" w:hAnsi="Century Gothic"/>
          <w:b w:val="0"/>
          <w:sz w:val="24"/>
          <w:szCs w:val="24"/>
        </w:rPr>
        <w:t>Asuntos Varios</w:t>
      </w:r>
      <w:r w:rsidR="00913A23">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913A23">
              <w:rPr>
                <w:rFonts w:eastAsia="Calibri"/>
                <w:b/>
                <w:szCs w:val="24"/>
              </w:rPr>
              <w:t>71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913A23" w:rsidRPr="0052553A">
        <w:rPr>
          <w:rFonts w:ascii="Century Gothic" w:hAnsi="Century Gothic"/>
          <w:b w:val="0"/>
          <w:sz w:val="24"/>
          <w:szCs w:val="24"/>
        </w:rPr>
        <w:t>de</w:t>
      </w:r>
      <w:r w:rsidR="00913A23">
        <w:rPr>
          <w:rFonts w:ascii="Century Gothic" w:hAnsi="Century Gothic"/>
          <w:b w:val="0"/>
          <w:sz w:val="24"/>
          <w:szCs w:val="24"/>
        </w:rPr>
        <w:t>l</w:t>
      </w:r>
      <w:r w:rsidR="00913A23" w:rsidRPr="0052553A">
        <w:rPr>
          <w:rFonts w:ascii="Century Gothic" w:hAnsi="Century Gothic"/>
          <w:b w:val="0"/>
          <w:sz w:val="24"/>
          <w:szCs w:val="24"/>
        </w:rPr>
        <w:t xml:space="preserve"> oficio</w:t>
      </w:r>
      <w:r w:rsidR="00913A23">
        <w:rPr>
          <w:rFonts w:ascii="Century Gothic" w:hAnsi="Century Gothic"/>
          <w:b w:val="0"/>
          <w:sz w:val="24"/>
          <w:szCs w:val="24"/>
        </w:rPr>
        <w:t xml:space="preserve"> 4111/2021 </w:t>
      </w:r>
      <w:r w:rsidR="00913A23" w:rsidRPr="00982187">
        <w:rPr>
          <w:rFonts w:ascii="Century Gothic" w:hAnsi="Century Gothic"/>
          <w:b w:val="0"/>
          <w:sz w:val="24"/>
          <w:szCs w:val="24"/>
        </w:rPr>
        <w:t>que remite</w:t>
      </w:r>
      <w:r w:rsidR="00913A23">
        <w:rPr>
          <w:rFonts w:ascii="Century Gothic" w:hAnsi="Century Gothic"/>
          <w:b w:val="0"/>
          <w:sz w:val="24"/>
          <w:szCs w:val="24"/>
        </w:rPr>
        <w:t xml:space="preserve"> el Secretario de Acuerdos del Primer Tribunal Colegiado en Materia de Trabajo del Tercer Circuito</w:t>
      </w:r>
      <w:r w:rsidR="00913A23" w:rsidRPr="00982187">
        <w:rPr>
          <w:rFonts w:ascii="Century Gothic" w:hAnsi="Century Gothic"/>
          <w:b w:val="0"/>
          <w:sz w:val="24"/>
          <w:szCs w:val="24"/>
        </w:rPr>
        <w:t>, rela</w:t>
      </w:r>
      <w:r w:rsidR="00913A23">
        <w:rPr>
          <w:rFonts w:ascii="Century Gothic" w:hAnsi="Century Gothic"/>
          <w:b w:val="0"/>
          <w:sz w:val="24"/>
          <w:szCs w:val="24"/>
        </w:rPr>
        <w:t xml:space="preserve">tivo al Juicio de Amparo número 208/2021 </w:t>
      </w:r>
      <w:r w:rsidR="00913A23" w:rsidRPr="001123FD">
        <w:rPr>
          <w:rFonts w:ascii="Century Gothic" w:hAnsi="Century Gothic"/>
          <w:b w:val="0"/>
          <w:sz w:val="24"/>
          <w:szCs w:val="24"/>
        </w:rPr>
        <w:t xml:space="preserve">mediante </w:t>
      </w:r>
      <w:r w:rsidR="00913A23">
        <w:rPr>
          <w:rFonts w:ascii="Century Gothic" w:hAnsi="Century Gothic"/>
          <w:b w:val="0"/>
          <w:sz w:val="24"/>
          <w:szCs w:val="24"/>
        </w:rPr>
        <w:t>el</w:t>
      </w:r>
      <w:r w:rsidR="00913A23" w:rsidRPr="001123FD">
        <w:rPr>
          <w:rFonts w:ascii="Century Gothic" w:hAnsi="Century Gothic"/>
          <w:b w:val="0"/>
          <w:sz w:val="24"/>
          <w:szCs w:val="24"/>
        </w:rPr>
        <w:t xml:space="preserve"> cual</w:t>
      </w:r>
      <w:r w:rsidR="00913A23" w:rsidRPr="002C2C7E">
        <w:rPr>
          <w:rFonts w:ascii="Century Gothic" w:hAnsi="Century Gothic"/>
          <w:b w:val="0"/>
          <w:sz w:val="24"/>
          <w:szCs w:val="24"/>
        </w:rPr>
        <w:t xml:space="preserve"> requiere a este Tribunal por el cumplimiento de la ejecutoria de</w:t>
      </w:r>
      <w:r w:rsidR="00913A23">
        <w:rPr>
          <w:rFonts w:ascii="Century Gothic" w:hAnsi="Century Gothic"/>
          <w:b w:val="0"/>
          <w:sz w:val="24"/>
          <w:szCs w:val="24"/>
        </w:rPr>
        <w:t>l</w:t>
      </w:r>
      <w:r w:rsidR="00913A23"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9403E6" w:rsidRPr="0052553A">
        <w:rPr>
          <w:rFonts w:ascii="Century Gothic" w:hAnsi="Century Gothic"/>
          <w:b w:val="0"/>
          <w:sz w:val="24"/>
          <w:szCs w:val="24"/>
        </w:rPr>
        <w:t>discusión y en su caso aprobación del proye</w:t>
      </w:r>
      <w:r w:rsidR="009403E6">
        <w:rPr>
          <w:rFonts w:ascii="Century Gothic" w:hAnsi="Century Gothic"/>
          <w:b w:val="0"/>
          <w:sz w:val="24"/>
          <w:szCs w:val="24"/>
        </w:rPr>
        <w:t xml:space="preserve">cto de sentencia del expediente del Conflicto Laboral 03/2011 </w:t>
      </w:r>
      <w:r w:rsidR="009403E6" w:rsidRPr="0052553A">
        <w:rPr>
          <w:rFonts w:ascii="Century Gothic" w:hAnsi="Century Gothic"/>
          <w:b w:val="0"/>
          <w:sz w:val="24"/>
          <w:szCs w:val="24"/>
        </w:rPr>
        <w:t>en cumpl</w:t>
      </w:r>
      <w:r w:rsidR="009403E6">
        <w:rPr>
          <w:rFonts w:ascii="Century Gothic" w:hAnsi="Century Gothic"/>
          <w:b w:val="0"/>
          <w:sz w:val="24"/>
          <w:szCs w:val="24"/>
        </w:rPr>
        <w:t>imiento al Juicio de Amparo 208/2020 del Primer Tribunal Colegiado en Materia de Trabajo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D90553" w:rsidRPr="00731098" w:rsidRDefault="00D90553" w:rsidP="00D9055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0553" w:rsidRPr="0091370E" w:rsidTr="00E40F72">
        <w:tc>
          <w:tcPr>
            <w:tcW w:w="8934" w:type="dxa"/>
            <w:shd w:val="clear" w:color="auto" w:fill="auto"/>
          </w:tcPr>
          <w:p w:rsidR="00D90553" w:rsidRPr="0091370E" w:rsidRDefault="00D90553" w:rsidP="00E40F72">
            <w:pPr>
              <w:pStyle w:val="Textosinformato"/>
              <w:rPr>
                <w:rFonts w:eastAsia="Calibri"/>
                <w:szCs w:val="24"/>
              </w:rPr>
            </w:pPr>
            <w:r w:rsidRPr="0091370E">
              <w:rPr>
                <w:rFonts w:eastAsia="Calibri"/>
                <w:b/>
                <w:szCs w:val="24"/>
              </w:rPr>
              <w:t>ACU/SS/</w:t>
            </w:r>
            <w:r w:rsidR="009403E6">
              <w:rPr>
                <w:rFonts w:eastAsia="Calibri"/>
                <w:b/>
                <w:szCs w:val="24"/>
              </w:rPr>
              <w:t>02/71</w:t>
            </w:r>
            <w:r>
              <w:rPr>
                <w:rFonts w:eastAsia="Calibri"/>
                <w:b/>
                <w:szCs w:val="24"/>
              </w:rPr>
              <w:t>/E/2021</w:t>
            </w:r>
            <w:r w:rsidRPr="0091370E">
              <w:rPr>
                <w:rFonts w:eastAsia="Calibri"/>
                <w:b/>
                <w:szCs w:val="24"/>
              </w:rPr>
              <w:t xml:space="preserve">. </w:t>
            </w:r>
            <w:r w:rsidR="009403E6" w:rsidRPr="00FA3DBD">
              <w:rPr>
                <w:rFonts w:eastAsia="Calibri"/>
                <w:szCs w:val="24"/>
              </w:rPr>
              <w:t xml:space="preserve">Con fundamento en lo dispuesto por el artículo 8 </w:t>
            </w:r>
            <w:r w:rsidR="009403E6">
              <w:rPr>
                <w:rFonts w:eastAsia="Calibri"/>
                <w:szCs w:val="24"/>
              </w:rPr>
              <w:t>numeral 1 fracción II</w:t>
            </w:r>
            <w:r w:rsidR="009403E6" w:rsidRPr="00FA3DBD">
              <w:rPr>
                <w:rFonts w:eastAsia="Calibri"/>
                <w:szCs w:val="24"/>
              </w:rPr>
              <w:t xml:space="preserve">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sidR="009403E6">
              <w:rPr>
                <w:rFonts w:eastAsia="Calibri"/>
                <w:szCs w:val="24"/>
              </w:rPr>
              <w:t>3/2011</w:t>
            </w:r>
            <w:r>
              <w:rPr>
                <w:rFonts w:eastAsia="Calibri"/>
                <w:szCs w:val="24"/>
              </w:rPr>
              <w:t xml:space="preserve">.  </w:t>
            </w:r>
          </w:p>
        </w:tc>
      </w:tr>
    </w:tbl>
    <w:p w:rsidR="009403E6" w:rsidRPr="009403E6" w:rsidRDefault="009403E6" w:rsidP="009403E6">
      <w:pPr>
        <w:pStyle w:val="Textosinformato"/>
        <w:rPr>
          <w:szCs w:val="24"/>
          <w:lang w:val="es-MX"/>
        </w:rPr>
      </w:pPr>
    </w:p>
    <w:p w:rsidR="009403E6" w:rsidRDefault="009403E6" w:rsidP="009403E6">
      <w:pPr>
        <w:pStyle w:val="Textosinformato"/>
        <w:jc w:val="center"/>
        <w:rPr>
          <w:b/>
          <w:szCs w:val="24"/>
        </w:rPr>
      </w:pPr>
      <w:r>
        <w:rPr>
          <w:b/>
          <w:szCs w:val="24"/>
        </w:rPr>
        <w:t>- 5</w:t>
      </w:r>
      <w:r w:rsidRPr="0052553A">
        <w:rPr>
          <w:b/>
          <w:szCs w:val="24"/>
        </w:rPr>
        <w:t xml:space="preserve"> </w:t>
      </w:r>
      <w:r>
        <w:rPr>
          <w:b/>
          <w:szCs w:val="24"/>
        </w:rPr>
        <w:t>–</w:t>
      </w:r>
    </w:p>
    <w:p w:rsidR="009403E6" w:rsidRPr="0052553A" w:rsidRDefault="009403E6" w:rsidP="009403E6">
      <w:pPr>
        <w:pStyle w:val="Textosinformato"/>
        <w:rPr>
          <w:b/>
          <w:szCs w:val="24"/>
        </w:rPr>
      </w:pPr>
    </w:p>
    <w:p w:rsidR="009403E6" w:rsidRDefault="009403E6" w:rsidP="009403E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la Aclaración de Sentencia del expediente del Recurso de Apelación 602/2021.</w:t>
      </w:r>
    </w:p>
    <w:p w:rsidR="009403E6" w:rsidRPr="0054501A" w:rsidRDefault="009403E6" w:rsidP="009403E6">
      <w:pPr>
        <w:pStyle w:val="Sangradetextonormal"/>
        <w:ind w:left="-142" w:firstLine="0"/>
        <w:jc w:val="both"/>
        <w:rPr>
          <w:rFonts w:ascii="Century Gothic" w:hAnsi="Century Gothic"/>
          <w:b w:val="0"/>
          <w:i/>
          <w:sz w:val="24"/>
          <w:szCs w:val="24"/>
        </w:rPr>
      </w:pPr>
    </w:p>
    <w:p w:rsidR="009403E6" w:rsidRDefault="009403E6" w:rsidP="009403E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E76201">
            <w:pPr>
              <w:pStyle w:val="Textosinformato"/>
              <w:rPr>
                <w:rFonts w:eastAsia="Calibri"/>
                <w:szCs w:val="24"/>
              </w:rPr>
            </w:pPr>
            <w:r w:rsidRPr="0091370E">
              <w:rPr>
                <w:rFonts w:eastAsia="Calibri"/>
                <w:b/>
                <w:szCs w:val="24"/>
              </w:rPr>
              <w:t>ACU/SS/</w:t>
            </w:r>
            <w:r>
              <w:rPr>
                <w:rFonts w:eastAsia="Calibri"/>
                <w:b/>
                <w:szCs w:val="24"/>
              </w:rPr>
              <w:t>03/71/E/2021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de aclaración de sentencia del expediente 602/2021</w:t>
            </w:r>
            <w:r>
              <w:rPr>
                <w:rFonts w:eastAsia="Calibri"/>
                <w:szCs w:val="24"/>
              </w:rPr>
              <w:t xml:space="preserve"> Recurso de Apelación.  </w:t>
            </w:r>
          </w:p>
        </w:tc>
      </w:tr>
    </w:tbl>
    <w:p w:rsidR="009403E6" w:rsidRDefault="009403E6" w:rsidP="003041CF">
      <w:pPr>
        <w:pStyle w:val="Textosinformato"/>
        <w:rPr>
          <w:b/>
          <w:szCs w:val="24"/>
          <w:lang w:val="es-MX"/>
        </w:rPr>
      </w:pPr>
    </w:p>
    <w:p w:rsidR="00810462" w:rsidRDefault="00810462" w:rsidP="00810462">
      <w:pPr>
        <w:pStyle w:val="Textosinformato"/>
        <w:jc w:val="center"/>
        <w:rPr>
          <w:b/>
          <w:szCs w:val="24"/>
        </w:rPr>
      </w:pPr>
      <w:r>
        <w:rPr>
          <w:b/>
          <w:szCs w:val="24"/>
        </w:rPr>
        <w:t>- 6 –</w:t>
      </w:r>
    </w:p>
    <w:p w:rsidR="00810462" w:rsidRDefault="00810462" w:rsidP="00810462">
      <w:pPr>
        <w:pStyle w:val="Textosinformato"/>
        <w:rPr>
          <w:b/>
          <w:szCs w:val="24"/>
        </w:rPr>
      </w:pPr>
    </w:p>
    <w:p w:rsidR="00810462" w:rsidRDefault="00810462" w:rsidP="00810462">
      <w:pPr>
        <w:pStyle w:val="Textosinformato"/>
        <w:rPr>
          <w:szCs w:val="24"/>
          <w:lang w:val="es-MX"/>
        </w:rPr>
      </w:pPr>
      <w:r>
        <w:rPr>
          <w:szCs w:val="24"/>
          <w:lang w:val="es-MX"/>
        </w:rPr>
        <w:t xml:space="preserve"> En uso de la voz el </w:t>
      </w:r>
      <w:r>
        <w:rPr>
          <w:b/>
          <w:szCs w:val="24"/>
          <w:lang w:val="es-MX"/>
        </w:rPr>
        <w:t>Magistrado Presidente</w:t>
      </w:r>
      <w:r>
        <w:rPr>
          <w:szCs w:val="24"/>
          <w:lang w:val="es-MX"/>
        </w:rPr>
        <w:t>, el siguiente punto del orden del día es relativo a los Asuntos Varios.</w:t>
      </w:r>
    </w:p>
    <w:p w:rsidR="00810462" w:rsidRDefault="00810462" w:rsidP="00810462">
      <w:pPr>
        <w:pStyle w:val="Textosinformato"/>
        <w:rPr>
          <w:szCs w:val="24"/>
          <w:lang w:val="es-MX"/>
        </w:rPr>
      </w:pPr>
    </w:p>
    <w:p w:rsidR="00810462" w:rsidRDefault="00810462" w:rsidP="00810462">
      <w:pPr>
        <w:pStyle w:val="Textosinformato"/>
        <w:rPr>
          <w:szCs w:val="24"/>
          <w:lang w:val="es-MX"/>
        </w:rPr>
      </w:pPr>
      <w:r>
        <w:rPr>
          <w:b/>
          <w:szCs w:val="24"/>
          <w:lang w:val="es-MX"/>
        </w:rPr>
        <w:t>6.1</w:t>
      </w:r>
      <w:r>
        <w:rPr>
          <w:szCs w:val="24"/>
          <w:lang w:val="es-MX"/>
        </w:rPr>
        <w:t xml:space="preserve"> En uso de la voz el </w:t>
      </w:r>
      <w:r>
        <w:rPr>
          <w:b/>
          <w:szCs w:val="24"/>
          <w:lang w:val="es-MX"/>
        </w:rPr>
        <w:t>Magistrado Presidente:</w:t>
      </w:r>
      <w:r>
        <w:rPr>
          <w:szCs w:val="24"/>
          <w:lang w:val="es-MX"/>
        </w:rPr>
        <w:t xml:space="preserve"> Magistrados les informo que el día doce de agosto, tengo una cita en la Secretaria de Administración</w:t>
      </w:r>
      <w:r w:rsidR="0032187F">
        <w:rPr>
          <w:szCs w:val="24"/>
          <w:lang w:val="es-MX"/>
        </w:rPr>
        <w:t xml:space="preserve"> y no alcanzo a llegar a la sesión</w:t>
      </w:r>
      <w:r>
        <w:rPr>
          <w:szCs w:val="24"/>
          <w:lang w:val="es-MX"/>
        </w:rPr>
        <w:t xml:space="preserve">, </w:t>
      </w:r>
      <w:r w:rsidR="0032187F">
        <w:rPr>
          <w:szCs w:val="24"/>
          <w:lang w:val="es-MX"/>
        </w:rPr>
        <w:t>por lo que les propongo cambiarla</w:t>
      </w:r>
      <w:r>
        <w:rPr>
          <w:szCs w:val="24"/>
          <w:lang w:val="es-MX"/>
        </w:rPr>
        <w:t xml:space="preserve"> para el día viernes trece de agosto</w:t>
      </w:r>
      <w:r w:rsidR="0032187F">
        <w:rPr>
          <w:szCs w:val="24"/>
          <w:lang w:val="es-MX"/>
        </w:rPr>
        <w:t xml:space="preserve"> del año en curso</w:t>
      </w:r>
      <w:bookmarkStart w:id="0" w:name="_GoBack"/>
      <w:bookmarkEnd w:id="0"/>
      <w:r>
        <w:rPr>
          <w:szCs w:val="24"/>
          <w:lang w:val="es-MX"/>
        </w:rPr>
        <w:t>.</w:t>
      </w:r>
    </w:p>
    <w:p w:rsidR="00810462" w:rsidRDefault="00810462" w:rsidP="00810462">
      <w:pPr>
        <w:pStyle w:val="Textosinformato"/>
        <w:rPr>
          <w:szCs w:val="24"/>
          <w:lang w:val="es-MX"/>
        </w:rPr>
      </w:pPr>
    </w:p>
    <w:p w:rsidR="00810462" w:rsidRDefault="00810462" w:rsidP="00810462">
      <w:pPr>
        <w:pStyle w:val="Textosinformato"/>
        <w:rPr>
          <w:szCs w:val="24"/>
        </w:rPr>
      </w:pPr>
      <w:r>
        <w:rPr>
          <w:szCs w:val="24"/>
        </w:rPr>
        <w:t>Registrada la votación por parte del Secretario General de acuerdo, se emite el siguiente punto de acuerdo:</w:t>
      </w:r>
    </w:p>
    <w:p w:rsidR="00810462" w:rsidRDefault="00810462" w:rsidP="00810462">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810462" w:rsidTr="00810462">
        <w:tc>
          <w:tcPr>
            <w:tcW w:w="9322" w:type="dxa"/>
            <w:tcBorders>
              <w:top w:val="single" w:sz="12" w:space="0" w:color="auto"/>
              <w:left w:val="single" w:sz="12" w:space="0" w:color="auto"/>
              <w:bottom w:val="single" w:sz="12" w:space="0" w:color="auto"/>
              <w:right w:val="single" w:sz="12" w:space="0" w:color="auto"/>
            </w:tcBorders>
            <w:hideMark/>
          </w:tcPr>
          <w:p w:rsidR="00810462" w:rsidRDefault="00810462" w:rsidP="00810462">
            <w:pPr>
              <w:pStyle w:val="Textosinformato"/>
              <w:spacing w:line="256" w:lineRule="auto"/>
              <w:rPr>
                <w:rFonts w:eastAsia="Calibri"/>
                <w:b/>
                <w:szCs w:val="24"/>
              </w:rPr>
            </w:pPr>
            <w:r>
              <w:rPr>
                <w:rFonts w:eastAsia="Calibri"/>
                <w:b/>
                <w:szCs w:val="24"/>
              </w:rPr>
              <w:t xml:space="preserve">ACU/SS/04/71/E/2021. </w:t>
            </w:r>
            <w:r>
              <w:rPr>
                <w:rFonts w:eastAsia="Calibri"/>
                <w:szCs w:val="24"/>
              </w:rPr>
              <w:t>Con fundamento en el artículo 8 fracción XX de la Ley Orgánica del Tribunal de Justicia Administrativa del Estado de Jalisco, en relación con el artículo 21 fracción VIII del Reglamento Interno del Tribunal de Justicia Administrativa del Estado de Jalisco, queda aprobado por unanimidad de votos de los Magistrados integrantes de Sala Superior, el cambio de fecha de la Décima Tercera Sesión Ordinaria al viernes trece de agosto del presente año.</w:t>
            </w:r>
            <w:r>
              <w:rPr>
                <w:szCs w:val="24"/>
              </w:rPr>
              <w:t xml:space="preserve"> </w:t>
            </w:r>
          </w:p>
        </w:tc>
      </w:tr>
    </w:tbl>
    <w:p w:rsidR="00810462" w:rsidRPr="0010367F" w:rsidRDefault="00810462"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930EA1">
        <w:rPr>
          <w:b/>
          <w:szCs w:val="24"/>
        </w:rPr>
        <w:t xml:space="preserve"> horas con veinticinco</w:t>
      </w:r>
      <w:r>
        <w:rPr>
          <w:b/>
          <w:szCs w:val="24"/>
        </w:rPr>
        <w:t xml:space="preserve"> </w:t>
      </w:r>
      <w:r w:rsidRPr="0091370E">
        <w:rPr>
          <w:b/>
          <w:szCs w:val="24"/>
        </w:rPr>
        <w:t>minutos</w:t>
      </w:r>
      <w:r w:rsidRPr="0091370E">
        <w:rPr>
          <w:szCs w:val="24"/>
        </w:rPr>
        <w:t xml:space="preserve"> del </w:t>
      </w:r>
      <w:r w:rsidR="00930EA1">
        <w:rPr>
          <w:b/>
          <w:szCs w:val="24"/>
        </w:rPr>
        <w:t>diez</w:t>
      </w:r>
      <w:r w:rsidR="00DF2E8A">
        <w:rPr>
          <w:b/>
          <w:szCs w:val="24"/>
        </w:rPr>
        <w:t xml:space="preserve"> de agosto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2187F">
      <w:rPr>
        <w:rStyle w:val="Nmerodepgina"/>
        <w:noProof/>
      </w:rPr>
      <w:t>3</w:t>
    </w:r>
    <w:r>
      <w:rPr>
        <w:rStyle w:val="Nmerodepgina"/>
      </w:rPr>
      <w:fldChar w:fldCharType="end"/>
    </w:r>
    <w:r w:rsidR="00031699">
      <w:rPr>
        <w:rStyle w:val="Nmerodepgina"/>
        <w:sz w:val="18"/>
      </w:rPr>
      <w:t>/4</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DF2E8A">
      <w:rPr>
        <w:rStyle w:val="Nmerodepgina"/>
        <w:rFonts w:ascii="Century Gothic" w:hAnsi="Century Gothic"/>
        <w:smallCaps/>
      </w:rPr>
      <w:t>SEPTUAGÉSIMA</w:t>
    </w:r>
    <w:r w:rsidR="00B97D82">
      <w:rPr>
        <w:rStyle w:val="Nmerodepgina"/>
        <w:rFonts w:ascii="Century Gothic" w:hAnsi="Century Gothic"/>
        <w:smallCaps/>
      </w:rPr>
      <w:t xml:space="preserve"> </w:t>
    </w:r>
    <w:r w:rsidR="00930EA1">
      <w:rPr>
        <w:rStyle w:val="Nmerodepgina"/>
        <w:rFonts w:ascii="Century Gothic" w:hAnsi="Century Gothic"/>
        <w:smallCaps/>
      </w:rPr>
      <w:t>PRIMERA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031699">
      <w:rPr>
        <w:rStyle w:val="Nmerodepgina"/>
        <w:rFonts w:ascii="Century Gothic" w:hAnsi="Century Gothic"/>
        <w:smallCaps/>
      </w:rPr>
      <w:t>DIEZ</w:t>
    </w:r>
    <w:r w:rsidR="00DF2E8A">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32187F" w:rsidP="007A710B">
    <w:pPr>
      <w:pStyle w:val="Piedepgina"/>
    </w:pPr>
  </w:p>
  <w:p w:rsidR="00F13EE9" w:rsidRPr="007A710B" w:rsidRDefault="0032187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1699"/>
    <w:rsid w:val="00032788"/>
    <w:rsid w:val="000F2910"/>
    <w:rsid w:val="0010367F"/>
    <w:rsid w:val="001123FD"/>
    <w:rsid w:val="001723F9"/>
    <w:rsid w:val="002228CE"/>
    <w:rsid w:val="00283650"/>
    <w:rsid w:val="002C2C7E"/>
    <w:rsid w:val="003041CF"/>
    <w:rsid w:val="003178B5"/>
    <w:rsid w:val="0032187F"/>
    <w:rsid w:val="00384412"/>
    <w:rsid w:val="00490D33"/>
    <w:rsid w:val="004B7F6C"/>
    <w:rsid w:val="004C00DF"/>
    <w:rsid w:val="00516913"/>
    <w:rsid w:val="00551E07"/>
    <w:rsid w:val="005F12F1"/>
    <w:rsid w:val="00602514"/>
    <w:rsid w:val="006D5232"/>
    <w:rsid w:val="006F3FCD"/>
    <w:rsid w:val="007538E8"/>
    <w:rsid w:val="00777F54"/>
    <w:rsid w:val="007E3B50"/>
    <w:rsid w:val="007F3043"/>
    <w:rsid w:val="00810462"/>
    <w:rsid w:val="00913A23"/>
    <w:rsid w:val="00930EA1"/>
    <w:rsid w:val="009403E6"/>
    <w:rsid w:val="009428C7"/>
    <w:rsid w:val="009C5D24"/>
    <w:rsid w:val="009F3DC7"/>
    <w:rsid w:val="00A0250B"/>
    <w:rsid w:val="00A0277B"/>
    <w:rsid w:val="00A078FD"/>
    <w:rsid w:val="00A73086"/>
    <w:rsid w:val="00A91123"/>
    <w:rsid w:val="00AC73A0"/>
    <w:rsid w:val="00AD259C"/>
    <w:rsid w:val="00AD5BEB"/>
    <w:rsid w:val="00B2325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D0DFC"/>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1221</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2021-07-05T19:12:00Z</cp:lastPrinted>
  <dcterms:created xsi:type="dcterms:W3CDTF">2021-08-11T20:07:00Z</dcterms:created>
  <dcterms:modified xsi:type="dcterms:W3CDTF">2021-09-08T17:33:00Z</dcterms:modified>
</cp:coreProperties>
</file>