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130240"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CENTÉSIMA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2D02A5">
        <w:rPr>
          <w:rFonts w:ascii="Century Gothic" w:eastAsia="Times New Roman" w:hAnsi="Century Gothic" w:cs="Verdana"/>
          <w:b/>
          <w:sz w:val="24"/>
          <w:szCs w:val="24"/>
          <w:lang w:val="es-ES" w:eastAsia="es-ES"/>
        </w:rPr>
        <w:t>once de noviembre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D02A5">
        <w:rPr>
          <w:rFonts w:ascii="Century Gothic" w:eastAsia="Times New Roman" w:hAnsi="Century Gothic" w:cs="Verdana"/>
          <w:b/>
          <w:sz w:val="24"/>
          <w:szCs w:val="24"/>
          <w:lang w:val="es-ES" w:eastAsia="es-ES"/>
        </w:rPr>
        <w:t>Centésima</w:t>
      </w:r>
      <w:r w:rsidR="002511E0">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F1E46" w:rsidRDefault="009F1E4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14586E" w:rsidRPr="0052553A"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9F1E46" w:rsidRDefault="009F1E4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14586E" w:rsidRPr="0052553A"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866499">
        <w:rPr>
          <w:rFonts w:ascii="Century Gothic" w:hAnsi="Century Gothic"/>
          <w:b w:val="0"/>
          <w:sz w:val="24"/>
          <w:szCs w:val="24"/>
        </w:rPr>
        <w:t xml:space="preserve"> </w:t>
      </w:r>
      <w:r w:rsidR="001123FD">
        <w:rPr>
          <w:rFonts w:ascii="Century Gothic" w:hAnsi="Century Gothic"/>
          <w:b w:val="0"/>
          <w:sz w:val="24"/>
          <w:szCs w:val="24"/>
        </w:rPr>
        <w:t>l</w:t>
      </w:r>
      <w:r w:rsidR="00866499">
        <w:rPr>
          <w:rFonts w:ascii="Century Gothic" w:hAnsi="Century Gothic"/>
          <w:b w:val="0"/>
          <w:sz w:val="24"/>
          <w:szCs w:val="24"/>
        </w:rPr>
        <w:t>os</w:t>
      </w:r>
      <w:r w:rsidRPr="0052553A">
        <w:rPr>
          <w:rFonts w:ascii="Century Gothic" w:hAnsi="Century Gothic"/>
          <w:b w:val="0"/>
          <w:sz w:val="24"/>
          <w:szCs w:val="24"/>
        </w:rPr>
        <w:t xml:space="preserve"> oficio</w:t>
      </w:r>
      <w:r w:rsidR="00FA726A">
        <w:rPr>
          <w:rFonts w:ascii="Century Gothic" w:hAnsi="Century Gothic"/>
          <w:b w:val="0"/>
          <w:sz w:val="24"/>
          <w:szCs w:val="24"/>
        </w:rPr>
        <w:t>s 9395</w:t>
      </w:r>
      <w:r w:rsidR="005E39C4">
        <w:rPr>
          <w:rFonts w:ascii="Century Gothic" w:hAnsi="Century Gothic"/>
          <w:b w:val="0"/>
          <w:sz w:val="24"/>
          <w:szCs w:val="24"/>
        </w:rPr>
        <w:t>/2021</w:t>
      </w:r>
      <w:r w:rsidR="00FA726A">
        <w:rPr>
          <w:rFonts w:ascii="Century Gothic" w:hAnsi="Century Gothic"/>
          <w:b w:val="0"/>
          <w:sz w:val="24"/>
          <w:szCs w:val="24"/>
        </w:rPr>
        <w:t xml:space="preserve"> y 8037</w:t>
      </w:r>
      <w:r w:rsidR="00866499">
        <w:rPr>
          <w:rFonts w:ascii="Century Gothic" w:hAnsi="Century Gothic"/>
          <w:b w:val="0"/>
          <w:sz w:val="24"/>
          <w:szCs w:val="24"/>
        </w:rPr>
        <w:t>/2021</w:t>
      </w:r>
      <w:r w:rsidR="00170CB3">
        <w:rPr>
          <w:rFonts w:ascii="Century Gothic" w:hAnsi="Century Gothic"/>
          <w:b w:val="0"/>
          <w:sz w:val="24"/>
          <w:szCs w:val="24"/>
        </w:rPr>
        <w:t xml:space="preserve"> </w:t>
      </w:r>
      <w:r w:rsidRPr="00982187">
        <w:rPr>
          <w:rFonts w:ascii="Century Gothic" w:hAnsi="Century Gothic"/>
          <w:b w:val="0"/>
          <w:sz w:val="24"/>
          <w:szCs w:val="24"/>
        </w:rPr>
        <w:t>que remite</w:t>
      </w:r>
      <w:r w:rsidR="00866499">
        <w:rPr>
          <w:rFonts w:ascii="Century Gothic" w:hAnsi="Century Gothic"/>
          <w:b w:val="0"/>
          <w:sz w:val="24"/>
          <w:szCs w:val="24"/>
        </w:rPr>
        <w:t>n</w:t>
      </w:r>
      <w:r w:rsidR="00C40EE6">
        <w:rPr>
          <w:rFonts w:ascii="Century Gothic" w:hAnsi="Century Gothic"/>
          <w:b w:val="0"/>
          <w:sz w:val="24"/>
          <w:szCs w:val="24"/>
        </w:rPr>
        <w:t xml:space="preserve"> </w:t>
      </w:r>
      <w:r w:rsidR="00DF2E8A">
        <w:rPr>
          <w:rFonts w:ascii="Century Gothic" w:hAnsi="Century Gothic"/>
          <w:b w:val="0"/>
          <w:sz w:val="24"/>
          <w:szCs w:val="24"/>
        </w:rPr>
        <w:t>l</w:t>
      </w:r>
      <w:r w:rsidR="00866499">
        <w:rPr>
          <w:rFonts w:ascii="Century Gothic" w:hAnsi="Century Gothic"/>
          <w:b w:val="0"/>
          <w:sz w:val="24"/>
          <w:szCs w:val="24"/>
        </w:rPr>
        <w:t>os</w:t>
      </w:r>
      <w:r w:rsidR="00AD5BEB">
        <w:rPr>
          <w:rFonts w:ascii="Century Gothic" w:hAnsi="Century Gothic"/>
          <w:b w:val="0"/>
          <w:sz w:val="24"/>
          <w:szCs w:val="24"/>
        </w:rPr>
        <w:t xml:space="preserve"> Secretario</w:t>
      </w:r>
      <w:r w:rsidR="00866499">
        <w:rPr>
          <w:rFonts w:ascii="Century Gothic" w:hAnsi="Century Gothic"/>
          <w:b w:val="0"/>
          <w:sz w:val="24"/>
          <w:szCs w:val="24"/>
        </w:rPr>
        <w:t>s</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FA726A">
        <w:rPr>
          <w:rFonts w:ascii="Century Gothic" w:hAnsi="Century Gothic"/>
          <w:b w:val="0"/>
          <w:sz w:val="24"/>
          <w:szCs w:val="24"/>
        </w:rPr>
        <w:t>Sexto</w:t>
      </w:r>
      <w:r w:rsidR="00866499">
        <w:rPr>
          <w:rFonts w:ascii="Century Gothic" w:hAnsi="Century Gothic"/>
          <w:b w:val="0"/>
          <w:sz w:val="24"/>
          <w:szCs w:val="24"/>
        </w:rPr>
        <w:t xml:space="preserve"> y Primer</w:t>
      </w:r>
      <w:r w:rsidR="00BA4298">
        <w:rPr>
          <w:rFonts w:ascii="Century Gothic" w:hAnsi="Century Gothic"/>
          <w:b w:val="0"/>
          <w:sz w:val="24"/>
          <w:szCs w:val="24"/>
        </w:rPr>
        <w:t xml:space="preserve"> Tribunal Colegiado en Materia </w:t>
      </w:r>
      <w:r w:rsidR="00652733">
        <w:rPr>
          <w:rFonts w:ascii="Century Gothic" w:hAnsi="Century Gothic"/>
          <w:b w:val="0"/>
          <w:sz w:val="24"/>
          <w:szCs w:val="24"/>
        </w:rPr>
        <w:t xml:space="preserve">de </w:t>
      </w:r>
      <w:r w:rsidR="00652733">
        <w:rPr>
          <w:rFonts w:ascii="Century Gothic" w:hAnsi="Century Gothic"/>
          <w:b w:val="0"/>
          <w:sz w:val="24"/>
          <w:szCs w:val="24"/>
        </w:rPr>
        <w:lastRenderedPageBreak/>
        <w:t>Administrativa</w:t>
      </w:r>
      <w:r w:rsidR="00BA4298">
        <w:rPr>
          <w:rFonts w:ascii="Century Gothic" w:hAnsi="Century Gothic"/>
          <w:b w:val="0"/>
          <w:sz w:val="24"/>
          <w:szCs w:val="24"/>
        </w:rPr>
        <w:t xml:space="preserve">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866499">
        <w:rPr>
          <w:rFonts w:ascii="Century Gothic" w:hAnsi="Century Gothic"/>
          <w:b w:val="0"/>
          <w:sz w:val="24"/>
          <w:szCs w:val="24"/>
        </w:rPr>
        <w:t>s</w:t>
      </w:r>
      <w:r w:rsidR="00516913">
        <w:rPr>
          <w:rFonts w:ascii="Century Gothic" w:hAnsi="Century Gothic"/>
          <w:b w:val="0"/>
          <w:sz w:val="24"/>
          <w:szCs w:val="24"/>
        </w:rPr>
        <w:t xml:space="preserve"> </w:t>
      </w:r>
      <w:r w:rsidR="0000743F">
        <w:rPr>
          <w:rFonts w:ascii="Century Gothic" w:hAnsi="Century Gothic"/>
          <w:b w:val="0"/>
          <w:sz w:val="24"/>
          <w:szCs w:val="24"/>
        </w:rPr>
        <w:t>a</w:t>
      </w:r>
      <w:r w:rsidR="00866499">
        <w:rPr>
          <w:rFonts w:ascii="Century Gothic" w:hAnsi="Century Gothic"/>
          <w:b w:val="0"/>
          <w:sz w:val="24"/>
          <w:szCs w:val="24"/>
        </w:rPr>
        <w:t xml:space="preserve"> </w:t>
      </w:r>
      <w:r w:rsidR="0000743F">
        <w:rPr>
          <w:rFonts w:ascii="Century Gothic" w:hAnsi="Century Gothic"/>
          <w:b w:val="0"/>
          <w:sz w:val="24"/>
          <w:szCs w:val="24"/>
        </w:rPr>
        <w:t>l</w:t>
      </w:r>
      <w:r w:rsidR="00866499">
        <w:rPr>
          <w:rFonts w:ascii="Century Gothic" w:hAnsi="Century Gothic"/>
          <w:b w:val="0"/>
          <w:sz w:val="24"/>
          <w:szCs w:val="24"/>
        </w:rPr>
        <w:t>os</w:t>
      </w:r>
      <w:r w:rsidR="0000743F">
        <w:rPr>
          <w:rFonts w:ascii="Century Gothic" w:hAnsi="Century Gothic"/>
          <w:b w:val="0"/>
          <w:sz w:val="24"/>
          <w:szCs w:val="24"/>
        </w:rPr>
        <w:t xml:space="preserve"> Juicio</w:t>
      </w:r>
      <w:r w:rsidR="00866499">
        <w:rPr>
          <w:rFonts w:ascii="Century Gothic" w:hAnsi="Century Gothic"/>
          <w:b w:val="0"/>
          <w:sz w:val="24"/>
          <w:szCs w:val="24"/>
        </w:rPr>
        <w:t>s</w:t>
      </w:r>
      <w:r w:rsidR="0000743F">
        <w:rPr>
          <w:rFonts w:ascii="Century Gothic" w:hAnsi="Century Gothic"/>
          <w:b w:val="0"/>
          <w:sz w:val="24"/>
          <w:szCs w:val="24"/>
        </w:rPr>
        <w:t xml:space="preserve"> de Amparo número </w:t>
      </w:r>
      <w:r w:rsidR="00FA726A">
        <w:rPr>
          <w:rFonts w:ascii="Century Gothic" w:hAnsi="Century Gothic"/>
          <w:b w:val="0"/>
          <w:sz w:val="24"/>
          <w:szCs w:val="24"/>
        </w:rPr>
        <w:t>216/2020 y 161</w:t>
      </w:r>
      <w:r w:rsidR="00866499">
        <w:rPr>
          <w:rFonts w:ascii="Century Gothic" w:hAnsi="Century Gothic"/>
          <w:b w:val="0"/>
          <w:sz w:val="24"/>
          <w:szCs w:val="24"/>
        </w:rPr>
        <w:t>/2021</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866499">
        <w:rPr>
          <w:rFonts w:ascii="Century Gothic" w:hAnsi="Century Gothic"/>
          <w:b w:val="0"/>
          <w:sz w:val="24"/>
          <w:szCs w:val="24"/>
        </w:rPr>
        <w:t>los</w:t>
      </w:r>
      <w:r w:rsidRPr="001123FD">
        <w:rPr>
          <w:rFonts w:ascii="Century Gothic" w:hAnsi="Century Gothic"/>
          <w:b w:val="0"/>
          <w:sz w:val="24"/>
          <w:szCs w:val="24"/>
        </w:rPr>
        <w:t xml:space="preserve"> cual</w:t>
      </w:r>
      <w:r w:rsidR="00866499">
        <w:rPr>
          <w:rFonts w:ascii="Century Gothic" w:hAnsi="Century Gothic"/>
          <w:b w:val="0"/>
          <w:sz w:val="24"/>
          <w:szCs w:val="24"/>
        </w:rPr>
        <w:t>es</w:t>
      </w:r>
      <w:r w:rsidRPr="002C2C7E">
        <w:rPr>
          <w:rFonts w:ascii="Century Gothic" w:hAnsi="Century Gothic"/>
          <w:b w:val="0"/>
          <w:sz w:val="24"/>
          <w:szCs w:val="24"/>
        </w:rPr>
        <w:t xml:space="preserve"> requiere a este Tribunal por el cumplimiento de la ejecutoria de</w:t>
      </w:r>
      <w:r w:rsidR="00866499">
        <w:rPr>
          <w:rFonts w:ascii="Century Gothic" w:hAnsi="Century Gothic"/>
          <w:b w:val="0"/>
          <w:sz w:val="24"/>
          <w:szCs w:val="24"/>
        </w:rPr>
        <w:t xml:space="preserve"> </w:t>
      </w:r>
      <w:r w:rsidR="00DF2E8A">
        <w:rPr>
          <w:rFonts w:ascii="Century Gothic" w:hAnsi="Century Gothic"/>
          <w:b w:val="0"/>
          <w:sz w:val="24"/>
          <w:szCs w:val="24"/>
        </w:rPr>
        <w:t>l</w:t>
      </w:r>
      <w:r w:rsidR="00866499">
        <w:rPr>
          <w:rFonts w:ascii="Century Gothic" w:hAnsi="Century Gothic"/>
          <w:b w:val="0"/>
          <w:sz w:val="24"/>
          <w:szCs w:val="24"/>
        </w:rPr>
        <w:t>os</w:t>
      </w:r>
      <w:r w:rsidRPr="002C2C7E">
        <w:rPr>
          <w:rFonts w:ascii="Century Gothic" w:hAnsi="Century Gothic"/>
          <w:b w:val="0"/>
          <w:sz w:val="24"/>
          <w:szCs w:val="24"/>
        </w:rPr>
        <w:t xml:space="preserve"> juicio</w:t>
      </w:r>
      <w:r w:rsidR="00866499">
        <w:rPr>
          <w:rFonts w:ascii="Century Gothic" w:hAnsi="Century Gothic"/>
          <w:b w:val="0"/>
          <w:sz w:val="24"/>
          <w:szCs w:val="24"/>
        </w:rPr>
        <w:t>s</w:t>
      </w:r>
      <w:r w:rsidRPr="002C2C7E">
        <w:rPr>
          <w:rFonts w:ascii="Century Gothic" w:hAnsi="Century Gothic"/>
          <w:b w:val="0"/>
          <w:sz w:val="24"/>
          <w:szCs w:val="24"/>
        </w:rPr>
        <w:t xml:space="preserve"> de amparo referido</w:t>
      </w:r>
      <w:r w:rsidR="00866499">
        <w:rPr>
          <w:rFonts w:ascii="Century Gothic" w:hAnsi="Century Gothic"/>
          <w:b w:val="0"/>
          <w:sz w:val="24"/>
          <w:szCs w:val="24"/>
        </w:rPr>
        <w:t>s</w:t>
      </w:r>
      <w:r w:rsidRPr="002C2C7E">
        <w:rPr>
          <w:rFonts w:ascii="Century Gothic" w:hAnsi="Century Gothic"/>
          <w:b w:val="0"/>
          <w:sz w:val="24"/>
          <w:szCs w:val="24"/>
        </w:rPr>
        <w:t>.</w:t>
      </w:r>
    </w:p>
    <w:p w:rsidR="00A7300C" w:rsidRPr="00A63B29" w:rsidRDefault="00170CB3"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4D233F">
        <w:rPr>
          <w:rFonts w:ascii="Century Gothic" w:hAnsi="Century Gothic"/>
          <w:b w:val="0"/>
          <w:sz w:val="24"/>
          <w:szCs w:val="24"/>
        </w:rPr>
        <w:t xml:space="preserve">e de Recurso de </w:t>
      </w:r>
      <w:r w:rsidR="00FA726A">
        <w:rPr>
          <w:rFonts w:ascii="Century Gothic" w:hAnsi="Century Gothic"/>
          <w:b w:val="0"/>
          <w:sz w:val="24"/>
          <w:szCs w:val="24"/>
        </w:rPr>
        <w:t>Apelación 549</w:t>
      </w:r>
      <w:r w:rsidR="00866499">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sidR="00866499">
        <w:rPr>
          <w:rFonts w:ascii="Century Gothic" w:hAnsi="Century Gothic"/>
          <w:b w:val="0"/>
          <w:sz w:val="24"/>
          <w:szCs w:val="24"/>
        </w:rPr>
        <w:t>imiento al J</w:t>
      </w:r>
      <w:r w:rsidR="00FA726A">
        <w:rPr>
          <w:rFonts w:ascii="Century Gothic" w:hAnsi="Century Gothic"/>
          <w:b w:val="0"/>
          <w:sz w:val="24"/>
          <w:szCs w:val="24"/>
        </w:rPr>
        <w:t>uicio de Amparo 216</w:t>
      </w:r>
      <w:r w:rsidR="00866499">
        <w:rPr>
          <w:rFonts w:ascii="Century Gothic" w:hAnsi="Century Gothic"/>
          <w:b w:val="0"/>
          <w:sz w:val="24"/>
          <w:szCs w:val="24"/>
        </w:rPr>
        <w:t>/2020</w:t>
      </w:r>
      <w:r w:rsidR="00037710">
        <w:rPr>
          <w:rFonts w:ascii="Century Gothic" w:hAnsi="Century Gothic"/>
          <w:b w:val="0"/>
          <w:sz w:val="24"/>
          <w:szCs w:val="24"/>
        </w:rPr>
        <w:t xml:space="preserve"> del </w:t>
      </w:r>
      <w:r w:rsidR="00FA726A">
        <w:rPr>
          <w:rFonts w:ascii="Century Gothic" w:hAnsi="Century Gothic"/>
          <w:b w:val="0"/>
          <w:sz w:val="24"/>
          <w:szCs w:val="24"/>
        </w:rPr>
        <w:t>Sexto</w:t>
      </w:r>
      <w:r>
        <w:rPr>
          <w:rFonts w:ascii="Century Gothic" w:hAnsi="Century Gothic"/>
          <w:b w:val="0"/>
          <w:sz w:val="24"/>
          <w:szCs w:val="24"/>
        </w:rPr>
        <w:t xml:space="preserve"> Tribunal Colegiado en Materia Administrativa del Tercer Circuito</w:t>
      </w:r>
      <w:r w:rsidR="00A7300C">
        <w:rPr>
          <w:rFonts w:ascii="Century Gothic" w:hAnsi="Century Gothic"/>
          <w:b w:val="0"/>
          <w:sz w:val="24"/>
          <w:szCs w:val="24"/>
        </w:rPr>
        <w:t>.</w:t>
      </w:r>
    </w:p>
    <w:p w:rsidR="00A63B29" w:rsidRPr="00A63B29" w:rsidRDefault="007D2C81"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w:t>
      </w:r>
      <w:r w:rsidR="00FA726A">
        <w:rPr>
          <w:rFonts w:ascii="Century Gothic" w:hAnsi="Century Gothic"/>
          <w:b w:val="0"/>
          <w:sz w:val="24"/>
          <w:szCs w:val="24"/>
        </w:rPr>
        <w:t xml:space="preserve">Incidente de Falta de Personalidad del </w:t>
      </w:r>
      <w:r>
        <w:rPr>
          <w:rFonts w:ascii="Century Gothic" w:hAnsi="Century Gothic"/>
          <w:b w:val="0"/>
          <w:sz w:val="24"/>
          <w:szCs w:val="24"/>
        </w:rPr>
        <w:t>expedi</w:t>
      </w:r>
      <w:r w:rsidR="00FA726A">
        <w:rPr>
          <w:rFonts w:ascii="Century Gothic" w:hAnsi="Century Gothic"/>
          <w:b w:val="0"/>
          <w:sz w:val="24"/>
          <w:szCs w:val="24"/>
        </w:rPr>
        <w:t>ente de Recurso de Apelación 279</w:t>
      </w:r>
      <w:r>
        <w:rPr>
          <w:rFonts w:ascii="Century Gothic" w:hAnsi="Century Gothic"/>
          <w:b w:val="0"/>
          <w:sz w:val="24"/>
          <w:szCs w:val="24"/>
        </w:rPr>
        <w:t xml:space="preserve">/2021 </w:t>
      </w:r>
      <w:r w:rsidRPr="0052553A">
        <w:rPr>
          <w:rFonts w:ascii="Century Gothic" w:hAnsi="Century Gothic"/>
          <w:b w:val="0"/>
          <w:sz w:val="24"/>
          <w:szCs w:val="24"/>
        </w:rPr>
        <w:t>en cumpl</w:t>
      </w:r>
      <w:r>
        <w:rPr>
          <w:rFonts w:ascii="Century Gothic" w:hAnsi="Century Gothic"/>
          <w:b w:val="0"/>
          <w:sz w:val="24"/>
          <w:szCs w:val="24"/>
        </w:rPr>
        <w:t xml:space="preserve">imiento al Juicio de Amparo </w:t>
      </w:r>
      <w:r w:rsidR="00FA726A">
        <w:rPr>
          <w:rFonts w:ascii="Century Gothic" w:hAnsi="Century Gothic"/>
          <w:b w:val="0"/>
          <w:sz w:val="24"/>
          <w:szCs w:val="24"/>
        </w:rPr>
        <w:t>161</w:t>
      </w:r>
      <w:r>
        <w:rPr>
          <w:rFonts w:ascii="Century Gothic" w:hAnsi="Century Gothic"/>
          <w:b w:val="0"/>
          <w:sz w:val="24"/>
          <w:szCs w:val="24"/>
        </w:rPr>
        <w:t>/2021 del Primer Tribunal Colegiado en Materia Administrativa del Tercer Circuito</w:t>
      </w:r>
      <w:r w:rsidR="00A63B29">
        <w:rPr>
          <w:rFonts w:ascii="Century Gothic" w:hAnsi="Century Gothic"/>
          <w:b w:val="0"/>
          <w:sz w:val="24"/>
          <w:szCs w:val="24"/>
        </w:rPr>
        <w:t>.</w:t>
      </w:r>
    </w:p>
    <w:p w:rsidR="00A63B29" w:rsidRPr="00FA726A" w:rsidRDefault="00FA726A" w:rsidP="00A63B29">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 Recurso de Apelación 279/2021 </w:t>
      </w:r>
      <w:r w:rsidRPr="0052553A">
        <w:rPr>
          <w:rFonts w:ascii="Century Gothic" w:hAnsi="Century Gothic"/>
          <w:b w:val="0"/>
          <w:sz w:val="24"/>
          <w:szCs w:val="24"/>
        </w:rPr>
        <w:t>en cumpl</w:t>
      </w:r>
      <w:r>
        <w:rPr>
          <w:rFonts w:ascii="Century Gothic" w:hAnsi="Century Gothic"/>
          <w:b w:val="0"/>
          <w:sz w:val="24"/>
          <w:szCs w:val="24"/>
        </w:rPr>
        <w:t>imiento al Juicio de Amparo 161/2021 del Primer Tribunal Colegiado en Materia Administrativa del Tercer Circuito</w:t>
      </w:r>
      <w:r w:rsidR="00A63B29">
        <w:rPr>
          <w:rFonts w:ascii="Century Gothic" w:hAnsi="Century Gothic"/>
          <w:b w:val="0"/>
          <w:sz w:val="24"/>
          <w:szCs w:val="24"/>
        </w:rPr>
        <w:t>.</w:t>
      </w:r>
    </w:p>
    <w:p w:rsidR="00FA726A" w:rsidRPr="00913A23" w:rsidRDefault="00FA726A" w:rsidP="00A63B29">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w:t>
      </w:r>
      <w:r w:rsidR="00223159">
        <w:rPr>
          <w:rFonts w:ascii="Century Gothic" w:hAnsi="Century Gothic"/>
          <w:b w:val="0"/>
          <w:sz w:val="24"/>
          <w:szCs w:val="24"/>
        </w:rPr>
        <w:t>Aclaración de S</w:t>
      </w:r>
      <w:r>
        <w:rPr>
          <w:rFonts w:ascii="Century Gothic" w:hAnsi="Century Gothic"/>
          <w:b w:val="0"/>
          <w:sz w:val="24"/>
          <w:szCs w:val="24"/>
        </w:rPr>
        <w:t>entencia del expediente de Recurs</w:t>
      </w:r>
      <w:r w:rsidR="00223159">
        <w:rPr>
          <w:rFonts w:ascii="Century Gothic" w:hAnsi="Century Gothic"/>
          <w:b w:val="0"/>
          <w:sz w:val="24"/>
          <w:szCs w:val="24"/>
        </w:rPr>
        <w:t>o de Apelación 1111</w:t>
      </w:r>
      <w:r>
        <w:rPr>
          <w:rFonts w:ascii="Century Gothic" w:hAnsi="Century Gothic"/>
          <w:b w:val="0"/>
          <w:sz w:val="24"/>
          <w:szCs w:val="24"/>
        </w:rPr>
        <w:t>/2021</w:t>
      </w:r>
      <w:r w:rsidR="00223159">
        <w:rPr>
          <w:rFonts w:ascii="Century Gothic" w:hAnsi="Century Gothic"/>
          <w:b w:val="0"/>
          <w:sz w:val="24"/>
          <w:szCs w:val="24"/>
        </w:rPr>
        <w:t>.</w:t>
      </w:r>
    </w:p>
    <w:p w:rsidR="009F1E46" w:rsidRDefault="009F1E46" w:rsidP="009F1E46">
      <w:pPr>
        <w:pStyle w:val="Sangradetextonormal"/>
        <w:ind w:left="0" w:firstLine="0"/>
        <w:jc w:val="both"/>
        <w:rPr>
          <w:szCs w:val="24"/>
        </w:rPr>
      </w:pPr>
    </w:p>
    <w:p w:rsidR="0014586E" w:rsidRPr="000F2910" w:rsidRDefault="0014586E" w:rsidP="009F1E46">
      <w:pPr>
        <w:pStyle w:val="Sangradetextonormal"/>
        <w:ind w:left="0" w:firstLine="0"/>
        <w:jc w:val="both"/>
        <w:rPr>
          <w:szCs w:val="24"/>
        </w:rPr>
      </w:pPr>
    </w:p>
    <w:p w:rsidR="003178B5" w:rsidRPr="007D2C81" w:rsidRDefault="003041CF" w:rsidP="007D2C81">
      <w:pPr>
        <w:pStyle w:val="Textosinformato"/>
        <w:jc w:val="center"/>
        <w:rPr>
          <w:b/>
          <w:szCs w:val="24"/>
        </w:rPr>
      </w:pPr>
      <w:r w:rsidRPr="0052553A">
        <w:rPr>
          <w:b/>
          <w:szCs w:val="24"/>
        </w:rPr>
        <w:t>- 1 -</w:t>
      </w:r>
    </w:p>
    <w:p w:rsidR="009F1E46" w:rsidRDefault="009F1E46" w:rsidP="003041CF">
      <w:pPr>
        <w:pStyle w:val="Textosinformato"/>
        <w:rPr>
          <w:szCs w:val="24"/>
        </w:rPr>
      </w:pPr>
    </w:p>
    <w:p w:rsidR="0014586E" w:rsidRPr="0052553A" w:rsidRDefault="0014586E"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F1E46" w:rsidRDefault="009F1E46" w:rsidP="003041CF">
      <w:pPr>
        <w:pStyle w:val="Textosinformato"/>
        <w:rPr>
          <w:szCs w:val="24"/>
        </w:rPr>
      </w:pPr>
    </w:p>
    <w:p w:rsidR="0014586E" w:rsidRPr="0052553A" w:rsidRDefault="0014586E" w:rsidP="003041CF">
      <w:pPr>
        <w:pStyle w:val="Textosinformato"/>
        <w:rPr>
          <w:szCs w:val="24"/>
        </w:rPr>
      </w:pPr>
    </w:p>
    <w:p w:rsidR="003178B5" w:rsidRPr="007D2C81" w:rsidRDefault="003041CF" w:rsidP="007D2C81">
      <w:pPr>
        <w:pStyle w:val="Textosinformato"/>
        <w:jc w:val="center"/>
        <w:rPr>
          <w:b/>
          <w:szCs w:val="24"/>
        </w:rPr>
      </w:pPr>
      <w:r w:rsidRPr="0052553A">
        <w:rPr>
          <w:b/>
          <w:szCs w:val="24"/>
        </w:rPr>
        <w:t>- 2 -</w:t>
      </w:r>
    </w:p>
    <w:p w:rsidR="009F1E46" w:rsidRDefault="009F1E46" w:rsidP="003041CF">
      <w:pPr>
        <w:pStyle w:val="Textosinformato"/>
        <w:rPr>
          <w:szCs w:val="24"/>
        </w:rPr>
      </w:pPr>
    </w:p>
    <w:p w:rsidR="0014586E" w:rsidRPr="0052553A" w:rsidRDefault="0014586E"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223159">
              <w:rPr>
                <w:rFonts w:eastAsia="Calibri"/>
                <w:b/>
                <w:szCs w:val="24"/>
              </w:rPr>
              <w:t>100</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9F1E46" w:rsidRDefault="009F1E46" w:rsidP="003041CF">
      <w:pPr>
        <w:pStyle w:val="Textosinformato"/>
        <w:rPr>
          <w:szCs w:val="24"/>
        </w:rPr>
      </w:pPr>
    </w:p>
    <w:p w:rsidR="0014586E" w:rsidRDefault="0014586E"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9F1E46" w:rsidRDefault="009F1E46" w:rsidP="00A73086">
      <w:pPr>
        <w:pStyle w:val="Textosinformato"/>
        <w:rPr>
          <w:szCs w:val="24"/>
        </w:rPr>
      </w:pPr>
    </w:p>
    <w:p w:rsidR="0014586E" w:rsidRPr="0052553A" w:rsidRDefault="0014586E"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223159" w:rsidRPr="0052553A">
        <w:rPr>
          <w:rFonts w:ascii="Century Gothic" w:hAnsi="Century Gothic"/>
          <w:b w:val="0"/>
          <w:sz w:val="24"/>
          <w:szCs w:val="24"/>
        </w:rPr>
        <w:t>de</w:t>
      </w:r>
      <w:r w:rsidR="00223159">
        <w:rPr>
          <w:rFonts w:ascii="Century Gothic" w:hAnsi="Century Gothic"/>
          <w:b w:val="0"/>
          <w:sz w:val="24"/>
          <w:szCs w:val="24"/>
        </w:rPr>
        <w:t xml:space="preserve"> los</w:t>
      </w:r>
      <w:r w:rsidR="00223159" w:rsidRPr="0052553A">
        <w:rPr>
          <w:rFonts w:ascii="Century Gothic" w:hAnsi="Century Gothic"/>
          <w:b w:val="0"/>
          <w:sz w:val="24"/>
          <w:szCs w:val="24"/>
        </w:rPr>
        <w:t xml:space="preserve"> oficio</w:t>
      </w:r>
      <w:r w:rsidR="00223159">
        <w:rPr>
          <w:rFonts w:ascii="Century Gothic" w:hAnsi="Century Gothic"/>
          <w:b w:val="0"/>
          <w:sz w:val="24"/>
          <w:szCs w:val="24"/>
        </w:rPr>
        <w:t xml:space="preserve">s 9395/2021 y 8037/2021 </w:t>
      </w:r>
      <w:r w:rsidR="00223159" w:rsidRPr="00982187">
        <w:rPr>
          <w:rFonts w:ascii="Century Gothic" w:hAnsi="Century Gothic"/>
          <w:b w:val="0"/>
          <w:sz w:val="24"/>
          <w:szCs w:val="24"/>
        </w:rPr>
        <w:t>que remite</w:t>
      </w:r>
      <w:r w:rsidR="00223159">
        <w:rPr>
          <w:rFonts w:ascii="Century Gothic" w:hAnsi="Century Gothic"/>
          <w:b w:val="0"/>
          <w:sz w:val="24"/>
          <w:szCs w:val="24"/>
        </w:rPr>
        <w:t>n los Secretarios de Acuerdos del Sexto y Primer Tribunal Colegiado en Materia de Administrativa del Tercer Circuito</w:t>
      </w:r>
      <w:r w:rsidR="00223159" w:rsidRPr="00982187">
        <w:rPr>
          <w:rFonts w:ascii="Century Gothic" w:hAnsi="Century Gothic"/>
          <w:b w:val="0"/>
          <w:sz w:val="24"/>
          <w:szCs w:val="24"/>
        </w:rPr>
        <w:t>, rela</w:t>
      </w:r>
      <w:r w:rsidR="00223159">
        <w:rPr>
          <w:rFonts w:ascii="Century Gothic" w:hAnsi="Century Gothic"/>
          <w:b w:val="0"/>
          <w:sz w:val="24"/>
          <w:szCs w:val="24"/>
        </w:rPr>
        <w:t xml:space="preserve">tivos a los Juicios de Amparo número </w:t>
      </w:r>
      <w:r w:rsidR="00223159">
        <w:rPr>
          <w:rFonts w:ascii="Century Gothic" w:hAnsi="Century Gothic"/>
          <w:b w:val="0"/>
          <w:sz w:val="24"/>
          <w:szCs w:val="24"/>
        </w:rPr>
        <w:lastRenderedPageBreak/>
        <w:t xml:space="preserve">216/2020 y 161/2021 </w:t>
      </w:r>
      <w:r w:rsidR="00223159" w:rsidRPr="001123FD">
        <w:rPr>
          <w:rFonts w:ascii="Century Gothic" w:hAnsi="Century Gothic"/>
          <w:b w:val="0"/>
          <w:sz w:val="24"/>
          <w:szCs w:val="24"/>
        </w:rPr>
        <w:t xml:space="preserve">mediante </w:t>
      </w:r>
      <w:r w:rsidR="00223159">
        <w:rPr>
          <w:rFonts w:ascii="Century Gothic" w:hAnsi="Century Gothic"/>
          <w:b w:val="0"/>
          <w:sz w:val="24"/>
          <w:szCs w:val="24"/>
        </w:rPr>
        <w:t>los</w:t>
      </w:r>
      <w:r w:rsidR="00223159" w:rsidRPr="001123FD">
        <w:rPr>
          <w:rFonts w:ascii="Century Gothic" w:hAnsi="Century Gothic"/>
          <w:b w:val="0"/>
          <w:sz w:val="24"/>
          <w:szCs w:val="24"/>
        </w:rPr>
        <w:t xml:space="preserve"> cual</w:t>
      </w:r>
      <w:r w:rsidR="00223159">
        <w:rPr>
          <w:rFonts w:ascii="Century Gothic" w:hAnsi="Century Gothic"/>
          <w:b w:val="0"/>
          <w:sz w:val="24"/>
          <w:szCs w:val="24"/>
        </w:rPr>
        <w:t>es</w:t>
      </w:r>
      <w:r w:rsidR="00223159" w:rsidRPr="002C2C7E">
        <w:rPr>
          <w:rFonts w:ascii="Century Gothic" w:hAnsi="Century Gothic"/>
          <w:b w:val="0"/>
          <w:sz w:val="24"/>
          <w:szCs w:val="24"/>
        </w:rPr>
        <w:t xml:space="preserve"> requiere a este Tribunal por el cumplimiento de la ejecutoria de</w:t>
      </w:r>
      <w:r w:rsidR="00223159">
        <w:rPr>
          <w:rFonts w:ascii="Century Gothic" w:hAnsi="Century Gothic"/>
          <w:b w:val="0"/>
          <w:sz w:val="24"/>
          <w:szCs w:val="24"/>
        </w:rPr>
        <w:t xml:space="preserve"> los</w:t>
      </w:r>
      <w:r w:rsidR="00223159" w:rsidRPr="002C2C7E">
        <w:rPr>
          <w:rFonts w:ascii="Century Gothic" w:hAnsi="Century Gothic"/>
          <w:b w:val="0"/>
          <w:sz w:val="24"/>
          <w:szCs w:val="24"/>
        </w:rPr>
        <w:t xml:space="preserve"> juicio</w:t>
      </w:r>
      <w:r w:rsidR="00223159">
        <w:rPr>
          <w:rFonts w:ascii="Century Gothic" w:hAnsi="Century Gothic"/>
          <w:b w:val="0"/>
          <w:sz w:val="24"/>
          <w:szCs w:val="24"/>
        </w:rPr>
        <w:t>s</w:t>
      </w:r>
      <w:r w:rsidR="00223159" w:rsidRPr="002C2C7E">
        <w:rPr>
          <w:rFonts w:ascii="Century Gothic" w:hAnsi="Century Gothic"/>
          <w:b w:val="0"/>
          <w:sz w:val="24"/>
          <w:szCs w:val="24"/>
        </w:rPr>
        <w:t xml:space="preserve"> de amparo referido</w:t>
      </w:r>
      <w:r w:rsidR="00223159">
        <w:rPr>
          <w:rFonts w:ascii="Century Gothic" w:hAnsi="Century Gothic"/>
          <w:b w:val="0"/>
          <w:sz w:val="24"/>
          <w:szCs w:val="24"/>
        </w:rPr>
        <w:t>s</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F557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9F1E46" w:rsidRDefault="009F1E46" w:rsidP="00A73086">
      <w:pPr>
        <w:pStyle w:val="Textosinformato"/>
        <w:rPr>
          <w:szCs w:val="24"/>
        </w:rPr>
      </w:pPr>
    </w:p>
    <w:p w:rsidR="0014586E" w:rsidRPr="00B44F95" w:rsidRDefault="0014586E" w:rsidP="00A73086">
      <w:pPr>
        <w:pStyle w:val="Textosinformato"/>
        <w:rPr>
          <w:szCs w:val="24"/>
        </w:rPr>
      </w:pPr>
    </w:p>
    <w:p w:rsidR="00A7300C" w:rsidRDefault="00A73086" w:rsidP="007D2C81">
      <w:pPr>
        <w:pStyle w:val="Textosinformato"/>
        <w:jc w:val="center"/>
        <w:rPr>
          <w:b/>
          <w:szCs w:val="24"/>
        </w:rPr>
      </w:pPr>
      <w:r>
        <w:rPr>
          <w:b/>
          <w:szCs w:val="24"/>
        </w:rPr>
        <w:t>- 4</w:t>
      </w:r>
      <w:r w:rsidRPr="0052553A">
        <w:rPr>
          <w:b/>
          <w:szCs w:val="24"/>
        </w:rPr>
        <w:t xml:space="preserve"> </w:t>
      </w:r>
      <w:r>
        <w:rPr>
          <w:b/>
          <w:szCs w:val="24"/>
        </w:rPr>
        <w:t>–</w:t>
      </w:r>
    </w:p>
    <w:p w:rsidR="009F1E46" w:rsidRDefault="009F1E46" w:rsidP="00037710">
      <w:pPr>
        <w:pStyle w:val="Sangradetextonormal"/>
        <w:ind w:left="0" w:firstLine="0"/>
        <w:jc w:val="both"/>
        <w:rPr>
          <w:b w:val="0"/>
          <w:szCs w:val="24"/>
        </w:rPr>
      </w:pPr>
    </w:p>
    <w:p w:rsidR="0014586E" w:rsidRPr="0052553A" w:rsidRDefault="0014586E"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223159" w:rsidRPr="0052553A">
        <w:rPr>
          <w:rFonts w:ascii="Century Gothic" w:hAnsi="Century Gothic"/>
          <w:b w:val="0"/>
          <w:sz w:val="24"/>
          <w:szCs w:val="24"/>
        </w:rPr>
        <w:t>discusión y en su caso aprobación del proye</w:t>
      </w:r>
      <w:r w:rsidR="00223159">
        <w:rPr>
          <w:rFonts w:ascii="Century Gothic" w:hAnsi="Century Gothic"/>
          <w:b w:val="0"/>
          <w:sz w:val="24"/>
          <w:szCs w:val="24"/>
        </w:rPr>
        <w:t xml:space="preserve">cto de sentencia del expediente de Recurso de Apelación 549/2019 </w:t>
      </w:r>
      <w:r w:rsidR="00223159" w:rsidRPr="0052553A">
        <w:rPr>
          <w:rFonts w:ascii="Century Gothic" w:hAnsi="Century Gothic"/>
          <w:b w:val="0"/>
          <w:sz w:val="24"/>
          <w:szCs w:val="24"/>
        </w:rPr>
        <w:t>en cumpl</w:t>
      </w:r>
      <w:r w:rsidR="00223159">
        <w:rPr>
          <w:rFonts w:ascii="Century Gothic" w:hAnsi="Century Gothic"/>
          <w:b w:val="0"/>
          <w:sz w:val="24"/>
          <w:szCs w:val="24"/>
        </w:rPr>
        <w:t>imiento al Juicio de Amparo 216/2020 del Sexto Tribunal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A63B29">
            <w:pPr>
              <w:pStyle w:val="Textosinformato"/>
              <w:rPr>
                <w:rFonts w:eastAsia="Calibri"/>
                <w:szCs w:val="24"/>
              </w:rPr>
            </w:pPr>
            <w:r w:rsidRPr="0091370E">
              <w:rPr>
                <w:rFonts w:eastAsia="Calibri"/>
                <w:b/>
                <w:szCs w:val="24"/>
              </w:rPr>
              <w:t>ACU/SS/</w:t>
            </w:r>
            <w:r w:rsidR="00223159">
              <w:rPr>
                <w:rFonts w:eastAsia="Calibri"/>
                <w:b/>
                <w:szCs w:val="24"/>
              </w:rPr>
              <w:t>02/100</w:t>
            </w:r>
            <w:r>
              <w:rPr>
                <w:rFonts w:eastAsia="Calibri"/>
                <w:b/>
                <w:szCs w:val="24"/>
              </w:rPr>
              <w:t>/E/2021</w:t>
            </w:r>
            <w:r w:rsidRPr="0091370E">
              <w:rPr>
                <w:rFonts w:eastAsia="Calibri"/>
                <w:b/>
                <w:szCs w:val="24"/>
              </w:rPr>
              <w:t xml:space="preserve">. </w:t>
            </w:r>
            <w:r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2F474D">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223159">
              <w:rPr>
                <w:rFonts w:eastAsia="Calibri"/>
                <w:szCs w:val="24"/>
              </w:rPr>
              <w:t>de sentencia del expediente 549</w:t>
            </w:r>
            <w:r w:rsidR="007D2C81">
              <w:rPr>
                <w:rFonts w:eastAsia="Calibri"/>
                <w:szCs w:val="24"/>
              </w:rPr>
              <w:t>/2019</w:t>
            </w:r>
            <w:r w:rsidR="002F474D">
              <w:rPr>
                <w:rFonts w:eastAsia="Calibri"/>
                <w:szCs w:val="24"/>
              </w:rPr>
              <w:t xml:space="preserve"> </w:t>
            </w:r>
            <w:r w:rsidR="007D2C81">
              <w:rPr>
                <w:rFonts w:eastAsia="Calibri"/>
                <w:szCs w:val="24"/>
              </w:rPr>
              <w:t>Recurso de Apel</w:t>
            </w:r>
            <w:r w:rsidR="00A63B29">
              <w:rPr>
                <w:rFonts w:eastAsia="Calibri"/>
                <w:szCs w:val="24"/>
              </w:rPr>
              <w:t>ación</w:t>
            </w:r>
            <w:r w:rsidR="007D2C81">
              <w:rPr>
                <w:rFonts w:eastAsia="Calibri"/>
                <w:szCs w:val="24"/>
              </w:rPr>
              <w:t>.</w:t>
            </w:r>
            <w:r>
              <w:rPr>
                <w:rFonts w:eastAsia="Calibri"/>
                <w:szCs w:val="24"/>
              </w:rPr>
              <w:t xml:space="preserve">  </w:t>
            </w:r>
          </w:p>
        </w:tc>
      </w:tr>
    </w:tbl>
    <w:p w:rsidR="009F1E46" w:rsidRDefault="009F1E46" w:rsidP="00170CB3">
      <w:pPr>
        <w:pStyle w:val="Textosinformato"/>
        <w:rPr>
          <w:b/>
          <w:szCs w:val="24"/>
          <w:lang w:val="es-MX"/>
        </w:rPr>
      </w:pPr>
    </w:p>
    <w:p w:rsidR="0014586E" w:rsidRDefault="0014586E" w:rsidP="00170CB3">
      <w:pPr>
        <w:pStyle w:val="Textosinformato"/>
        <w:rPr>
          <w:b/>
          <w:szCs w:val="24"/>
          <w:lang w:val="es-MX"/>
        </w:rPr>
      </w:pPr>
    </w:p>
    <w:p w:rsidR="00617CE8" w:rsidRDefault="00617CE8" w:rsidP="00617CE8">
      <w:pPr>
        <w:pStyle w:val="Textosinformato"/>
        <w:jc w:val="center"/>
        <w:rPr>
          <w:b/>
          <w:szCs w:val="24"/>
        </w:rPr>
      </w:pPr>
      <w:r>
        <w:rPr>
          <w:b/>
          <w:szCs w:val="24"/>
        </w:rPr>
        <w:t>- 5</w:t>
      </w:r>
      <w:r w:rsidRPr="0052553A">
        <w:rPr>
          <w:b/>
          <w:szCs w:val="24"/>
        </w:rPr>
        <w:t xml:space="preserve"> </w:t>
      </w:r>
      <w:r>
        <w:rPr>
          <w:b/>
          <w:szCs w:val="24"/>
        </w:rPr>
        <w:t>–</w:t>
      </w:r>
    </w:p>
    <w:p w:rsidR="009F1E46" w:rsidRDefault="009F1E46" w:rsidP="00617CE8">
      <w:pPr>
        <w:pStyle w:val="Sangradetextonormal"/>
        <w:ind w:left="0" w:firstLine="0"/>
        <w:jc w:val="both"/>
        <w:rPr>
          <w:b w:val="0"/>
          <w:szCs w:val="24"/>
        </w:rPr>
      </w:pPr>
    </w:p>
    <w:p w:rsidR="0014586E" w:rsidRPr="0052553A" w:rsidRDefault="0014586E" w:rsidP="00617CE8">
      <w:pPr>
        <w:pStyle w:val="Sangradetextonormal"/>
        <w:ind w:left="0" w:firstLine="0"/>
        <w:jc w:val="both"/>
        <w:rPr>
          <w:b w:val="0"/>
          <w:szCs w:val="24"/>
        </w:rPr>
      </w:pPr>
    </w:p>
    <w:p w:rsidR="00617CE8" w:rsidRDefault="00617CE8" w:rsidP="00617CE8">
      <w:pPr>
        <w:pStyle w:val="Sangradetextonormal"/>
        <w:ind w:left="0"/>
        <w:jc w:val="both"/>
        <w:rPr>
          <w:rFonts w:ascii="Century Gothic" w:hAnsi="Century Gothic"/>
          <w:b w:val="0"/>
          <w:sz w:val="24"/>
          <w:szCs w:val="24"/>
        </w:rPr>
      </w:pPr>
      <w:r>
        <w:rPr>
          <w:szCs w:val="24"/>
          <w:lang w:val="es-MX"/>
        </w:rPr>
        <w:t xml:space="preserve">         </w:t>
      </w:r>
      <w:r>
        <w:rPr>
          <w:rFonts w:ascii="Century Gothic" w:hAnsi="Century Gothic"/>
          <w:b w:val="0"/>
          <w:sz w:val="24"/>
          <w:szCs w:val="24"/>
          <w:lang w:val="es-MX"/>
        </w:rPr>
        <w:t xml:space="preserve">En uso de la voz el </w:t>
      </w:r>
      <w:r w:rsidRPr="00B87450">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223159" w:rsidRPr="0052553A">
        <w:rPr>
          <w:rFonts w:ascii="Century Gothic" w:hAnsi="Century Gothic"/>
          <w:b w:val="0"/>
          <w:sz w:val="24"/>
          <w:szCs w:val="24"/>
        </w:rPr>
        <w:t>discusión y en su caso aprobación del proye</w:t>
      </w:r>
      <w:r w:rsidR="00223159">
        <w:rPr>
          <w:rFonts w:ascii="Century Gothic" w:hAnsi="Century Gothic"/>
          <w:b w:val="0"/>
          <w:sz w:val="24"/>
          <w:szCs w:val="24"/>
        </w:rPr>
        <w:t xml:space="preserve">cto de sentencia del Incidente de Falta de Personalidad del expediente de Recurso de Apelación 279/2021 </w:t>
      </w:r>
      <w:r w:rsidR="00223159" w:rsidRPr="0052553A">
        <w:rPr>
          <w:rFonts w:ascii="Century Gothic" w:hAnsi="Century Gothic"/>
          <w:b w:val="0"/>
          <w:sz w:val="24"/>
          <w:szCs w:val="24"/>
        </w:rPr>
        <w:t>en cumpl</w:t>
      </w:r>
      <w:r w:rsidR="00223159">
        <w:rPr>
          <w:rFonts w:ascii="Century Gothic" w:hAnsi="Century Gothic"/>
          <w:b w:val="0"/>
          <w:sz w:val="24"/>
          <w:szCs w:val="24"/>
        </w:rPr>
        <w:t>imiento al Juicio de Amparo 161/2021 del Primer Tribunal Colegiado en Materia Administrativa del Tercer Circuito</w:t>
      </w:r>
      <w:r>
        <w:rPr>
          <w:rFonts w:ascii="Century Gothic" w:hAnsi="Century Gothic"/>
          <w:b w:val="0"/>
          <w:sz w:val="24"/>
          <w:szCs w:val="24"/>
        </w:rPr>
        <w:t>.</w:t>
      </w:r>
    </w:p>
    <w:p w:rsidR="00617CE8" w:rsidRPr="0054501A" w:rsidRDefault="00617CE8" w:rsidP="00617CE8">
      <w:pPr>
        <w:pStyle w:val="Sangradetextonormal"/>
        <w:ind w:left="-142" w:firstLine="0"/>
        <w:jc w:val="both"/>
        <w:rPr>
          <w:rFonts w:ascii="Century Gothic" w:hAnsi="Century Gothic"/>
          <w:b w:val="0"/>
          <w:i/>
          <w:sz w:val="24"/>
          <w:szCs w:val="24"/>
        </w:rPr>
      </w:pPr>
    </w:p>
    <w:p w:rsidR="00617CE8" w:rsidRDefault="00617CE8" w:rsidP="00617CE8">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7CE8" w:rsidRPr="00731098" w:rsidRDefault="00617CE8" w:rsidP="00617CE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CE8" w:rsidRPr="0091370E" w:rsidTr="0015519D">
        <w:tc>
          <w:tcPr>
            <w:tcW w:w="8934" w:type="dxa"/>
            <w:shd w:val="clear" w:color="auto" w:fill="auto"/>
          </w:tcPr>
          <w:p w:rsidR="00617CE8" w:rsidRPr="0091370E" w:rsidRDefault="00617CE8" w:rsidP="009F1E46">
            <w:pPr>
              <w:pStyle w:val="Textosinformato"/>
              <w:rPr>
                <w:rFonts w:eastAsia="Calibri"/>
                <w:szCs w:val="24"/>
              </w:rPr>
            </w:pPr>
            <w:r w:rsidRPr="0091370E">
              <w:rPr>
                <w:rFonts w:eastAsia="Calibri"/>
                <w:b/>
                <w:szCs w:val="24"/>
              </w:rPr>
              <w:t>ACU/SS/</w:t>
            </w:r>
            <w:r w:rsidR="00223159">
              <w:rPr>
                <w:rFonts w:eastAsia="Calibri"/>
                <w:b/>
                <w:szCs w:val="24"/>
              </w:rPr>
              <w:t>03/100</w:t>
            </w:r>
            <w:r>
              <w:rPr>
                <w:rFonts w:eastAsia="Calibri"/>
                <w:b/>
                <w:szCs w:val="24"/>
              </w:rPr>
              <w:t>/E/2021</w:t>
            </w:r>
            <w:r w:rsidRPr="0091370E">
              <w:rPr>
                <w:rFonts w:eastAsia="Calibri"/>
                <w:b/>
                <w:szCs w:val="24"/>
              </w:rPr>
              <w:t xml:space="preserve">. </w:t>
            </w:r>
            <w:r w:rsidR="00223159" w:rsidRPr="00223159">
              <w:rPr>
                <w:rFonts w:eastAsia="Calibri"/>
                <w:szCs w:val="24"/>
                <w:lang w:val="es-MX"/>
              </w:rPr>
              <w:t>Con fundamento en lo dispuesto por el artículo 8 numeral 1 fracción I  de la Ley Orgánica del Tribunal de Justicia Administrativa del Estado de Jalisco, artículo 18 fracciones II y VIII y 19 del Reglamento Interno del Tribunal de Justicia Administrativa del Estado de Jalisco, así como el artículo 59 fracción I de la Ley de Justicia Administrativa del Estado de Jalisco</w:t>
            </w:r>
            <w:r w:rsidR="007D2C81" w:rsidRPr="0091370E">
              <w:rPr>
                <w:rFonts w:eastAsia="Calibri"/>
                <w:szCs w:val="24"/>
              </w:rPr>
              <w:t>,</w:t>
            </w:r>
            <w:r w:rsidR="007D2C81">
              <w:rPr>
                <w:rFonts w:eastAsia="Calibri"/>
                <w:szCs w:val="24"/>
              </w:rPr>
              <w:t xml:space="preserve"> los Magistrados integrantes de la Sala Superior del Tribunal de Justicia Administrativa del Estado de Jalisco, aprobaron por </w:t>
            </w:r>
            <w:r w:rsidR="007D2C81">
              <w:rPr>
                <w:rFonts w:eastAsia="Calibri"/>
                <w:szCs w:val="24"/>
              </w:rPr>
              <w:lastRenderedPageBreak/>
              <w:t xml:space="preserve">unanimidad de votos el proyecto de sentencia del </w:t>
            </w:r>
            <w:r w:rsidR="00223159">
              <w:rPr>
                <w:rFonts w:eastAsia="Calibri"/>
                <w:szCs w:val="24"/>
              </w:rPr>
              <w:t>Incidente de Falta de Personalidad del expediente 279</w:t>
            </w:r>
            <w:r w:rsidR="007D2C81">
              <w:rPr>
                <w:rFonts w:eastAsia="Calibri"/>
                <w:szCs w:val="24"/>
              </w:rPr>
              <w:t>/2021 Recurso de Apelación</w:t>
            </w:r>
            <w:r w:rsidR="009F1E46">
              <w:rPr>
                <w:rFonts w:eastAsia="Calibri"/>
                <w:szCs w:val="24"/>
              </w:rPr>
              <w:t>.</w:t>
            </w:r>
            <w:r>
              <w:rPr>
                <w:rFonts w:eastAsia="Calibri"/>
                <w:szCs w:val="24"/>
              </w:rPr>
              <w:t xml:space="preserve">  </w:t>
            </w:r>
          </w:p>
        </w:tc>
      </w:tr>
    </w:tbl>
    <w:p w:rsidR="009F1E46" w:rsidRDefault="009F1E46" w:rsidP="009F1E46">
      <w:pPr>
        <w:pStyle w:val="Textosinformato"/>
        <w:rPr>
          <w:b/>
          <w:szCs w:val="24"/>
          <w:lang w:val="es-MX"/>
        </w:rPr>
      </w:pPr>
    </w:p>
    <w:p w:rsidR="0014586E" w:rsidRDefault="0014586E" w:rsidP="009F1E46">
      <w:pPr>
        <w:pStyle w:val="Textosinformato"/>
        <w:rPr>
          <w:b/>
          <w:szCs w:val="24"/>
          <w:lang w:val="es-MX"/>
        </w:rPr>
      </w:pPr>
    </w:p>
    <w:p w:rsidR="009F1E46" w:rsidRDefault="009F1E46" w:rsidP="009F1E46">
      <w:pPr>
        <w:pStyle w:val="Textosinformato"/>
        <w:jc w:val="center"/>
        <w:rPr>
          <w:b/>
          <w:szCs w:val="24"/>
        </w:rPr>
      </w:pPr>
      <w:r>
        <w:rPr>
          <w:b/>
          <w:szCs w:val="24"/>
        </w:rPr>
        <w:t>- 6</w:t>
      </w:r>
      <w:r w:rsidRPr="0052553A">
        <w:rPr>
          <w:b/>
          <w:szCs w:val="24"/>
        </w:rPr>
        <w:t xml:space="preserve"> </w:t>
      </w:r>
      <w:r>
        <w:rPr>
          <w:b/>
          <w:szCs w:val="24"/>
        </w:rPr>
        <w:t>–</w:t>
      </w:r>
    </w:p>
    <w:p w:rsidR="009F1E46" w:rsidRDefault="009F1E46" w:rsidP="00170CB3">
      <w:pPr>
        <w:pStyle w:val="Textosinformato"/>
        <w:rPr>
          <w:b/>
          <w:szCs w:val="24"/>
          <w:lang w:val="es-MX"/>
        </w:rPr>
      </w:pPr>
    </w:p>
    <w:p w:rsidR="0014586E" w:rsidRDefault="0014586E" w:rsidP="00170CB3">
      <w:pPr>
        <w:pStyle w:val="Textosinformato"/>
        <w:rPr>
          <w:b/>
          <w:szCs w:val="24"/>
          <w:lang w:val="es-MX"/>
        </w:rPr>
      </w:pPr>
    </w:p>
    <w:p w:rsidR="00223159" w:rsidRDefault="00223159" w:rsidP="00223159">
      <w:pPr>
        <w:pStyle w:val="Sangradetextonormal"/>
        <w:ind w:left="0"/>
        <w:jc w:val="both"/>
        <w:rPr>
          <w:rFonts w:ascii="Century Gothic" w:hAnsi="Century Gothic"/>
          <w:b w:val="0"/>
          <w:sz w:val="24"/>
          <w:szCs w:val="24"/>
        </w:rPr>
      </w:pPr>
      <w:r>
        <w:rPr>
          <w:szCs w:val="24"/>
          <w:lang w:val="es-MX"/>
        </w:rPr>
        <w:t xml:space="preserve">         </w:t>
      </w:r>
      <w:r>
        <w:rPr>
          <w:rFonts w:ascii="Century Gothic" w:hAnsi="Century Gothic"/>
          <w:b w:val="0"/>
          <w:sz w:val="24"/>
          <w:szCs w:val="24"/>
          <w:lang w:val="es-MX"/>
        </w:rPr>
        <w:t xml:space="preserve">En uso de la voz el </w:t>
      </w:r>
      <w:r w:rsidRPr="00B87450">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 Recurso de Apelación 279/2021 </w:t>
      </w:r>
      <w:r w:rsidRPr="0052553A">
        <w:rPr>
          <w:rFonts w:ascii="Century Gothic" w:hAnsi="Century Gothic"/>
          <w:b w:val="0"/>
          <w:sz w:val="24"/>
          <w:szCs w:val="24"/>
        </w:rPr>
        <w:t>en cumpl</w:t>
      </w:r>
      <w:r>
        <w:rPr>
          <w:rFonts w:ascii="Century Gothic" w:hAnsi="Century Gothic"/>
          <w:b w:val="0"/>
          <w:sz w:val="24"/>
          <w:szCs w:val="24"/>
        </w:rPr>
        <w:t>imiento al Juicio de Amparo 161/2021 del Primer Tribunal Colegiado en Materia Administrativa del Tercer Circuito.</w:t>
      </w:r>
    </w:p>
    <w:p w:rsidR="00223159" w:rsidRPr="0054501A" w:rsidRDefault="00223159" w:rsidP="00223159">
      <w:pPr>
        <w:pStyle w:val="Sangradetextonormal"/>
        <w:ind w:left="-142" w:firstLine="0"/>
        <w:jc w:val="both"/>
        <w:rPr>
          <w:rFonts w:ascii="Century Gothic" w:hAnsi="Century Gothic"/>
          <w:b w:val="0"/>
          <w:i/>
          <w:sz w:val="24"/>
          <w:szCs w:val="24"/>
        </w:rPr>
      </w:pPr>
    </w:p>
    <w:p w:rsidR="00223159" w:rsidRDefault="00223159" w:rsidP="00223159">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23159" w:rsidRPr="00731098" w:rsidRDefault="00223159" w:rsidP="002231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23159" w:rsidRPr="0091370E" w:rsidTr="00747A9E">
        <w:tc>
          <w:tcPr>
            <w:tcW w:w="8934" w:type="dxa"/>
            <w:shd w:val="clear" w:color="auto" w:fill="auto"/>
          </w:tcPr>
          <w:p w:rsidR="00223159" w:rsidRPr="0091370E" w:rsidRDefault="00223159" w:rsidP="00747A9E">
            <w:pPr>
              <w:pStyle w:val="Textosinformato"/>
              <w:rPr>
                <w:rFonts w:eastAsia="Calibri"/>
                <w:szCs w:val="24"/>
              </w:rPr>
            </w:pPr>
            <w:r w:rsidRPr="0091370E">
              <w:rPr>
                <w:rFonts w:eastAsia="Calibri"/>
                <w:b/>
                <w:szCs w:val="24"/>
              </w:rPr>
              <w:t>ACU/SS/</w:t>
            </w:r>
            <w:r>
              <w:rPr>
                <w:rFonts w:eastAsia="Calibri"/>
                <w:b/>
                <w:szCs w:val="24"/>
              </w:rPr>
              <w:t>04</w:t>
            </w:r>
            <w:r>
              <w:rPr>
                <w:rFonts w:eastAsia="Calibri"/>
                <w:b/>
                <w:szCs w:val="24"/>
              </w:rPr>
              <w:t>/100/E/2021</w:t>
            </w:r>
            <w:r w:rsidRPr="0091370E">
              <w:rPr>
                <w:rFonts w:eastAsia="Calibri"/>
                <w:b/>
                <w:szCs w:val="24"/>
              </w:rPr>
              <w:t xml:space="preserve">. </w:t>
            </w:r>
            <w:r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w:t>
            </w:r>
            <w:r>
              <w:rPr>
                <w:rFonts w:eastAsia="Calibri"/>
                <w:szCs w:val="24"/>
              </w:rPr>
              <w:t>de sentencia del expediente 279/2021</w:t>
            </w:r>
            <w:r>
              <w:rPr>
                <w:rFonts w:eastAsia="Calibri"/>
                <w:szCs w:val="24"/>
              </w:rPr>
              <w:t xml:space="preserve"> Recurso de Apelación.  </w:t>
            </w:r>
          </w:p>
        </w:tc>
      </w:tr>
    </w:tbl>
    <w:p w:rsidR="009F1E46" w:rsidRDefault="009F1E46" w:rsidP="00170CB3">
      <w:pPr>
        <w:pStyle w:val="Textosinformato"/>
        <w:rPr>
          <w:b/>
          <w:szCs w:val="24"/>
          <w:lang w:val="es-MX"/>
        </w:rPr>
      </w:pPr>
    </w:p>
    <w:p w:rsidR="0014586E" w:rsidRDefault="0014586E" w:rsidP="00170CB3">
      <w:pPr>
        <w:pStyle w:val="Textosinformato"/>
        <w:rPr>
          <w:b/>
          <w:szCs w:val="24"/>
          <w:lang w:val="es-MX"/>
        </w:rPr>
      </w:pPr>
    </w:p>
    <w:p w:rsidR="00223159" w:rsidRDefault="00223159" w:rsidP="00223159">
      <w:pPr>
        <w:pStyle w:val="Textosinformato"/>
        <w:jc w:val="center"/>
        <w:rPr>
          <w:b/>
          <w:szCs w:val="24"/>
        </w:rPr>
      </w:pPr>
      <w:r>
        <w:rPr>
          <w:b/>
          <w:szCs w:val="24"/>
        </w:rPr>
        <w:t>- 7</w:t>
      </w:r>
      <w:r w:rsidRPr="0052553A">
        <w:rPr>
          <w:b/>
          <w:szCs w:val="24"/>
        </w:rPr>
        <w:t xml:space="preserve"> </w:t>
      </w:r>
      <w:r>
        <w:rPr>
          <w:b/>
          <w:szCs w:val="24"/>
        </w:rPr>
        <w:t>–</w:t>
      </w:r>
    </w:p>
    <w:p w:rsidR="00223159" w:rsidRDefault="00223159" w:rsidP="00223159">
      <w:pPr>
        <w:pStyle w:val="Textosinformato"/>
        <w:rPr>
          <w:b/>
          <w:szCs w:val="24"/>
          <w:lang w:val="es-MX"/>
        </w:rPr>
      </w:pPr>
    </w:p>
    <w:p w:rsidR="0014586E" w:rsidRDefault="0014586E" w:rsidP="00223159">
      <w:pPr>
        <w:pStyle w:val="Textosinformato"/>
        <w:rPr>
          <w:b/>
          <w:szCs w:val="24"/>
          <w:lang w:val="es-MX"/>
        </w:rPr>
      </w:pPr>
    </w:p>
    <w:p w:rsidR="00223159" w:rsidRDefault="00223159" w:rsidP="00223159">
      <w:pPr>
        <w:pStyle w:val="Sangradetextonormal"/>
        <w:ind w:left="0"/>
        <w:jc w:val="both"/>
        <w:rPr>
          <w:rFonts w:ascii="Century Gothic" w:hAnsi="Century Gothic"/>
          <w:b w:val="0"/>
          <w:sz w:val="24"/>
          <w:szCs w:val="24"/>
        </w:rPr>
      </w:pPr>
      <w:r>
        <w:rPr>
          <w:szCs w:val="24"/>
          <w:lang w:val="es-MX"/>
        </w:rPr>
        <w:t xml:space="preserve">         </w:t>
      </w:r>
      <w:r>
        <w:rPr>
          <w:rFonts w:ascii="Century Gothic" w:hAnsi="Century Gothic"/>
          <w:b w:val="0"/>
          <w:sz w:val="24"/>
          <w:szCs w:val="24"/>
          <w:lang w:val="es-MX"/>
        </w:rPr>
        <w:t xml:space="preserve">En uso de la voz el </w:t>
      </w:r>
      <w:r w:rsidRPr="00B87450">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Aclaración de Sentencia del expediente de Recurso de Apelación 1111/2021.</w:t>
      </w:r>
    </w:p>
    <w:p w:rsidR="00223159" w:rsidRPr="0054501A" w:rsidRDefault="00223159" w:rsidP="00223159">
      <w:pPr>
        <w:pStyle w:val="Sangradetextonormal"/>
        <w:ind w:left="-142" w:firstLine="0"/>
        <w:jc w:val="both"/>
        <w:rPr>
          <w:rFonts w:ascii="Century Gothic" w:hAnsi="Century Gothic"/>
          <w:b w:val="0"/>
          <w:i/>
          <w:sz w:val="24"/>
          <w:szCs w:val="24"/>
        </w:rPr>
      </w:pPr>
    </w:p>
    <w:p w:rsidR="00223159" w:rsidRDefault="00223159" w:rsidP="00223159">
      <w:pPr>
        <w:pStyle w:val="Textosinformato"/>
        <w:rPr>
          <w:szCs w:val="24"/>
          <w:lang w:val="es-ES_tradnl"/>
        </w:rPr>
      </w:pPr>
      <w:r>
        <w:rPr>
          <w:szCs w:val="24"/>
          <w:lang w:val="es-ES_tradnl"/>
        </w:rPr>
        <w:t xml:space="preserve">Registrada la votación por parte del Secretario General de Acuerdos, se emite el siguiente punto de Acuerdo: </w:t>
      </w:r>
    </w:p>
    <w:p w:rsidR="00223159" w:rsidRPr="00731098" w:rsidRDefault="00223159" w:rsidP="002231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23159" w:rsidRPr="0091370E" w:rsidTr="00747A9E">
        <w:tc>
          <w:tcPr>
            <w:tcW w:w="8934" w:type="dxa"/>
            <w:shd w:val="clear" w:color="auto" w:fill="auto"/>
          </w:tcPr>
          <w:p w:rsidR="00223159" w:rsidRPr="0091370E" w:rsidRDefault="00223159" w:rsidP="00747A9E">
            <w:pPr>
              <w:pStyle w:val="Textosinformato"/>
              <w:rPr>
                <w:rFonts w:eastAsia="Calibri"/>
                <w:szCs w:val="24"/>
              </w:rPr>
            </w:pPr>
            <w:r w:rsidRPr="0091370E">
              <w:rPr>
                <w:rFonts w:eastAsia="Calibri"/>
                <w:b/>
                <w:szCs w:val="24"/>
              </w:rPr>
              <w:t>ACU/SS/</w:t>
            </w:r>
            <w:r>
              <w:rPr>
                <w:rFonts w:eastAsia="Calibri"/>
                <w:b/>
                <w:szCs w:val="24"/>
              </w:rPr>
              <w:t>05</w:t>
            </w:r>
            <w:r>
              <w:rPr>
                <w:rFonts w:eastAsia="Calibri"/>
                <w:b/>
                <w:szCs w:val="24"/>
              </w:rPr>
              <w:t>/100/E/2021</w:t>
            </w:r>
            <w:r w:rsidRPr="0091370E">
              <w:rPr>
                <w:rFonts w:eastAsia="Calibri"/>
                <w:b/>
                <w:szCs w:val="24"/>
              </w:rPr>
              <w:t xml:space="preserve">. </w:t>
            </w:r>
            <w:r w:rsidRPr="00223159">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w:t>
            </w:r>
            <w:r>
              <w:rPr>
                <w:rFonts w:eastAsia="Calibri"/>
                <w:szCs w:val="24"/>
              </w:rPr>
              <w:t>la Aclaración de Sentencia del expediente 1111</w:t>
            </w:r>
            <w:r>
              <w:rPr>
                <w:rFonts w:eastAsia="Calibri"/>
                <w:szCs w:val="24"/>
              </w:rPr>
              <w:t xml:space="preserve">/2021 Recurso de Apelación.  </w:t>
            </w:r>
          </w:p>
        </w:tc>
      </w:tr>
    </w:tbl>
    <w:p w:rsidR="00817F18" w:rsidRPr="0010367F" w:rsidRDefault="00817F18"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lastRenderedPageBreak/>
        <w:tab/>
      </w:r>
    </w:p>
    <w:p w:rsidR="003041CF"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817F18">
        <w:rPr>
          <w:b/>
          <w:szCs w:val="24"/>
        </w:rPr>
        <w:t xml:space="preserve"> horas con veinte</w:t>
      </w:r>
      <w:r>
        <w:rPr>
          <w:b/>
          <w:szCs w:val="24"/>
        </w:rPr>
        <w:t xml:space="preserve"> </w:t>
      </w:r>
      <w:r w:rsidRPr="0091370E">
        <w:rPr>
          <w:b/>
          <w:szCs w:val="24"/>
        </w:rPr>
        <w:t>minutos</w:t>
      </w:r>
      <w:r w:rsidRPr="0091370E">
        <w:rPr>
          <w:szCs w:val="24"/>
        </w:rPr>
        <w:t xml:space="preserve"> del </w:t>
      </w:r>
      <w:r w:rsidR="0014586E">
        <w:rPr>
          <w:b/>
          <w:szCs w:val="24"/>
        </w:rPr>
        <w:t>once de noviembre</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14586E">
        <w:rPr>
          <w:szCs w:val="24"/>
        </w:rPr>
        <w:t>---------------</w:t>
      </w:r>
    </w:p>
    <w:p w:rsidR="00817F18" w:rsidRPr="00F5573A" w:rsidRDefault="00817F18" w:rsidP="00F5573A">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w:t>
      </w:r>
      <w:bookmarkStart w:id="0" w:name="_GoBack"/>
      <w:bookmarkEnd w:id="0"/>
      <w:r>
        <w:rPr>
          <w:rFonts w:ascii="Century Gothic" w:eastAsia="Times New Roman" w:hAnsi="Century Gothic" w:cs="Times New Roman"/>
          <w:b/>
          <w:sz w:val="24"/>
          <w:szCs w:val="24"/>
          <w:lang w:val="es-ES" w:eastAsia="es-ES"/>
        </w:rPr>
        <w:t>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4586E">
      <w:rPr>
        <w:rStyle w:val="Nmerodepgina"/>
        <w:noProof/>
      </w:rPr>
      <w:t>5</w:t>
    </w:r>
    <w:r>
      <w:rPr>
        <w:rStyle w:val="Nmerodepgina"/>
      </w:rPr>
      <w:fldChar w:fldCharType="end"/>
    </w:r>
    <w:r w:rsidR="009F1E46">
      <w:rPr>
        <w:rStyle w:val="Nmerodepgina"/>
        <w:sz w:val="18"/>
      </w:rPr>
      <w:t>/5</w:t>
    </w:r>
  </w:p>
  <w:p w:rsidR="007A710B" w:rsidRPr="0052553A" w:rsidRDefault="0014586E" w:rsidP="001A3344">
    <w:pPr>
      <w:pStyle w:val="Piedepgina"/>
      <w:jc w:val="right"/>
      <w:rPr>
        <w:rStyle w:val="Nmerodepgina"/>
        <w:rFonts w:ascii="Century Gothic" w:hAnsi="Century Gothic"/>
        <w:smallCaps/>
      </w:rPr>
    </w:pPr>
    <w:r>
      <w:rPr>
        <w:rStyle w:val="Nmerodepgina"/>
        <w:rFonts w:ascii="Century Gothic" w:hAnsi="Century Gothic"/>
        <w:smallCaps/>
      </w:rPr>
      <w:t>CENTÉSIMA</w:t>
    </w:r>
    <w:r w:rsidR="00037710">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14586E" w:rsidP="007A710B">
    <w:pPr>
      <w:pStyle w:val="Piedepgina"/>
      <w:jc w:val="right"/>
      <w:rPr>
        <w:rStyle w:val="Nmerodepgina"/>
        <w:rFonts w:ascii="Century Gothic" w:hAnsi="Century Gothic"/>
        <w:smallCaps/>
      </w:rPr>
    </w:pPr>
    <w:r>
      <w:rPr>
        <w:rStyle w:val="Nmerodepgina"/>
        <w:rFonts w:ascii="Century Gothic" w:hAnsi="Century Gothic"/>
        <w:smallCaps/>
      </w:rPr>
      <w:t>ONCE DE NOVIEMBRE</w:t>
    </w:r>
    <w:r w:rsidR="002F474D">
      <w:rPr>
        <w:rStyle w:val="Nmerodepgina"/>
        <w:rFonts w:ascii="Century Gothic" w:hAnsi="Century Gothic"/>
        <w:smallCaps/>
      </w:rPr>
      <w:t xml:space="preserve"> </w:t>
    </w:r>
    <w:r w:rsidR="003041CF">
      <w:rPr>
        <w:rStyle w:val="Nmerodepgina"/>
        <w:rFonts w:ascii="Century Gothic" w:hAnsi="Century Gothic"/>
        <w:smallCaps/>
      </w:rPr>
      <w:t xml:space="preserve"> DE DOS MIL VEINTIUNO</w:t>
    </w:r>
  </w:p>
  <w:p w:rsidR="007A710B" w:rsidRDefault="0014586E" w:rsidP="007A710B">
    <w:pPr>
      <w:pStyle w:val="Piedepgina"/>
    </w:pPr>
  </w:p>
  <w:p w:rsidR="00F13EE9" w:rsidRPr="007A710B" w:rsidRDefault="0014586E"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1CD2"/>
    <w:rsid w:val="0010367F"/>
    <w:rsid w:val="001123FD"/>
    <w:rsid w:val="00122263"/>
    <w:rsid w:val="00130240"/>
    <w:rsid w:val="0014586E"/>
    <w:rsid w:val="00163527"/>
    <w:rsid w:val="00170CB3"/>
    <w:rsid w:val="001723F9"/>
    <w:rsid w:val="0018453C"/>
    <w:rsid w:val="001A3344"/>
    <w:rsid w:val="002228CE"/>
    <w:rsid w:val="00223159"/>
    <w:rsid w:val="002511E0"/>
    <w:rsid w:val="00283650"/>
    <w:rsid w:val="002C2C7E"/>
    <w:rsid w:val="002D02A5"/>
    <w:rsid w:val="002E41FD"/>
    <w:rsid w:val="002F474D"/>
    <w:rsid w:val="003041CF"/>
    <w:rsid w:val="003178B5"/>
    <w:rsid w:val="00344E99"/>
    <w:rsid w:val="00384412"/>
    <w:rsid w:val="003C29CA"/>
    <w:rsid w:val="0044797F"/>
    <w:rsid w:val="00490D33"/>
    <w:rsid w:val="004B7F6C"/>
    <w:rsid w:val="004C00DF"/>
    <w:rsid w:val="004D233F"/>
    <w:rsid w:val="00516913"/>
    <w:rsid w:val="0053465A"/>
    <w:rsid w:val="00551E07"/>
    <w:rsid w:val="005D07BC"/>
    <w:rsid w:val="005E39C4"/>
    <w:rsid w:val="005F12F1"/>
    <w:rsid w:val="00602514"/>
    <w:rsid w:val="00617CE8"/>
    <w:rsid w:val="00652733"/>
    <w:rsid w:val="0065310D"/>
    <w:rsid w:val="006D5232"/>
    <w:rsid w:val="006F3FCD"/>
    <w:rsid w:val="007105E1"/>
    <w:rsid w:val="00720DF4"/>
    <w:rsid w:val="007538E8"/>
    <w:rsid w:val="00777F54"/>
    <w:rsid w:val="007D2C81"/>
    <w:rsid w:val="007E3B50"/>
    <w:rsid w:val="007F3043"/>
    <w:rsid w:val="00817F18"/>
    <w:rsid w:val="00866499"/>
    <w:rsid w:val="008C5E78"/>
    <w:rsid w:val="008C7285"/>
    <w:rsid w:val="008E458D"/>
    <w:rsid w:val="00913A23"/>
    <w:rsid w:val="0092641F"/>
    <w:rsid w:val="00930EA1"/>
    <w:rsid w:val="009403E6"/>
    <w:rsid w:val="009428C7"/>
    <w:rsid w:val="009C5D24"/>
    <w:rsid w:val="009F1E46"/>
    <w:rsid w:val="009F3DC7"/>
    <w:rsid w:val="00A0250B"/>
    <w:rsid w:val="00A0277B"/>
    <w:rsid w:val="00A078FD"/>
    <w:rsid w:val="00A40843"/>
    <w:rsid w:val="00A63B29"/>
    <w:rsid w:val="00A7300C"/>
    <w:rsid w:val="00A73086"/>
    <w:rsid w:val="00A91123"/>
    <w:rsid w:val="00AA00C0"/>
    <w:rsid w:val="00AC73A0"/>
    <w:rsid w:val="00AD259C"/>
    <w:rsid w:val="00AD5BEB"/>
    <w:rsid w:val="00B1616A"/>
    <w:rsid w:val="00B23258"/>
    <w:rsid w:val="00B87450"/>
    <w:rsid w:val="00B94038"/>
    <w:rsid w:val="00B97D82"/>
    <w:rsid w:val="00BA16C6"/>
    <w:rsid w:val="00BA4298"/>
    <w:rsid w:val="00C14F63"/>
    <w:rsid w:val="00C40EE6"/>
    <w:rsid w:val="00C73E60"/>
    <w:rsid w:val="00C94685"/>
    <w:rsid w:val="00CA64AB"/>
    <w:rsid w:val="00CB0B24"/>
    <w:rsid w:val="00CC29B0"/>
    <w:rsid w:val="00CC5026"/>
    <w:rsid w:val="00CD3C05"/>
    <w:rsid w:val="00D0010A"/>
    <w:rsid w:val="00D53897"/>
    <w:rsid w:val="00D83F69"/>
    <w:rsid w:val="00D90553"/>
    <w:rsid w:val="00DF164B"/>
    <w:rsid w:val="00DF2E8A"/>
    <w:rsid w:val="00E6097B"/>
    <w:rsid w:val="00E82D97"/>
    <w:rsid w:val="00ED0DFC"/>
    <w:rsid w:val="00ED7D1D"/>
    <w:rsid w:val="00F26B0F"/>
    <w:rsid w:val="00F328A5"/>
    <w:rsid w:val="00F34ED1"/>
    <w:rsid w:val="00F5573A"/>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1543</Words>
  <Characters>8487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2021-09-20T18:54:00Z</cp:lastPrinted>
  <dcterms:created xsi:type="dcterms:W3CDTF">2021-11-24T19:16:00Z</dcterms:created>
  <dcterms:modified xsi:type="dcterms:W3CDTF">2021-11-24T19:16:00Z</dcterms:modified>
</cp:coreProperties>
</file>