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D009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PRIMERA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CD0098">
        <w:rPr>
          <w:rFonts w:ascii="Century Gothic" w:eastAsia="Times New Roman" w:hAnsi="Century Gothic" w:cs="Verdana"/>
          <w:b/>
          <w:sz w:val="24"/>
          <w:szCs w:val="24"/>
          <w:lang w:val="es-ES" w:eastAsia="es-ES"/>
        </w:rPr>
        <w:t>treinta y uno</w:t>
      </w:r>
      <w:r w:rsidR="002C047B">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D0098">
        <w:rPr>
          <w:rFonts w:ascii="Century Gothic" w:eastAsia="Times New Roman" w:hAnsi="Century Gothic" w:cs="Verdana"/>
          <w:b/>
          <w:sz w:val="24"/>
          <w:szCs w:val="24"/>
          <w:lang w:val="es-ES" w:eastAsia="es-ES"/>
        </w:rPr>
        <w:t>Décima Primera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F3AD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8268B" w:rsidRPr="0088268B" w:rsidRDefault="00170CB3" w:rsidP="0088268B">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CD0098">
        <w:rPr>
          <w:rFonts w:ascii="Century Gothic" w:hAnsi="Century Gothic"/>
          <w:b w:val="0"/>
          <w:sz w:val="24"/>
          <w:szCs w:val="24"/>
        </w:rPr>
        <w:t>Incidente de Suspensión II-4344</w:t>
      </w:r>
      <w:r w:rsidR="001916F4">
        <w:rPr>
          <w:rFonts w:ascii="Century Gothic" w:hAnsi="Century Gothic"/>
          <w:b w:val="0"/>
          <w:sz w:val="24"/>
          <w:szCs w:val="24"/>
        </w:rPr>
        <w:t>/2021</w:t>
      </w:r>
      <w:r w:rsidR="00CD0098">
        <w:rPr>
          <w:rFonts w:ascii="Century Gothic" w:hAnsi="Century Gothic"/>
          <w:b w:val="0"/>
          <w:sz w:val="24"/>
          <w:szCs w:val="24"/>
        </w:rPr>
        <w:t>;</w:t>
      </w:r>
    </w:p>
    <w:p w:rsidR="00CD0098" w:rsidRPr="0088268B" w:rsidRDefault="00CD0098" w:rsidP="001916F4">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expediente del Incidente de Suspensión II-4345/2021.</w:t>
      </w:r>
    </w:p>
    <w:p w:rsidR="0088268B" w:rsidRPr="00CD0098" w:rsidRDefault="0088268B" w:rsidP="001916F4">
      <w:pPr>
        <w:pStyle w:val="Sangradetextonormal"/>
        <w:numPr>
          <w:ilvl w:val="0"/>
          <w:numId w:val="1"/>
        </w:numPr>
        <w:jc w:val="both"/>
        <w:rPr>
          <w:szCs w:val="24"/>
        </w:rPr>
      </w:pPr>
      <w:r>
        <w:rPr>
          <w:rFonts w:ascii="Century Gothic" w:hAnsi="Century Gothic"/>
          <w:b w:val="0"/>
          <w:sz w:val="24"/>
          <w:szCs w:val="24"/>
        </w:rPr>
        <w:t>Clausura.</w:t>
      </w:r>
    </w:p>
    <w:p w:rsidR="00CD0098" w:rsidRPr="001916F4" w:rsidRDefault="00CD0098" w:rsidP="00CD0098">
      <w:pPr>
        <w:pStyle w:val="Sangradetextonormal"/>
        <w:ind w:left="0" w:firstLine="0"/>
        <w:jc w:val="both"/>
        <w:rPr>
          <w:szCs w:val="24"/>
        </w:rPr>
      </w:pPr>
    </w:p>
    <w:p w:rsidR="0014586E" w:rsidRDefault="003041CF" w:rsidP="001916F4">
      <w:pPr>
        <w:pStyle w:val="Textosinformato"/>
        <w:jc w:val="center"/>
        <w:rPr>
          <w:b/>
          <w:szCs w:val="24"/>
        </w:rPr>
      </w:pPr>
      <w:r w:rsidRPr="0052553A">
        <w:rPr>
          <w:b/>
          <w:szCs w:val="24"/>
        </w:rPr>
        <w:t xml:space="preserve">- 1 </w:t>
      </w:r>
      <w:r w:rsidR="001916F4">
        <w:rPr>
          <w:b/>
          <w:szCs w:val="24"/>
        </w:rPr>
        <w:t>–</w:t>
      </w:r>
    </w:p>
    <w:p w:rsidR="001916F4" w:rsidRPr="001916F4" w:rsidRDefault="001916F4" w:rsidP="00CD0098">
      <w:pPr>
        <w:pStyle w:val="Textosinformato"/>
        <w:rPr>
          <w:b/>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916F4" w:rsidRPr="0052553A" w:rsidRDefault="001916F4" w:rsidP="003041CF">
      <w:pPr>
        <w:pStyle w:val="Textosinformato"/>
        <w:rPr>
          <w:szCs w:val="24"/>
        </w:rPr>
      </w:pPr>
    </w:p>
    <w:p w:rsidR="0014586E" w:rsidRPr="00CD0098" w:rsidRDefault="003041CF" w:rsidP="00CD0098">
      <w:pPr>
        <w:pStyle w:val="Textosinformato"/>
        <w:jc w:val="center"/>
        <w:rPr>
          <w:b/>
          <w:szCs w:val="24"/>
        </w:rPr>
      </w:pPr>
      <w:r w:rsidRPr="0052553A">
        <w:rPr>
          <w:b/>
          <w:szCs w:val="24"/>
        </w:rPr>
        <w:t>- 2 -</w:t>
      </w:r>
    </w:p>
    <w:p w:rsidR="001916F4" w:rsidRPr="0052553A" w:rsidRDefault="001916F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CD0098">
              <w:rPr>
                <w:rFonts w:eastAsia="Calibri"/>
                <w:b/>
                <w:szCs w:val="24"/>
              </w:rPr>
              <w:t>11</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916F4" w:rsidRDefault="001916F4" w:rsidP="003041CF">
      <w:pPr>
        <w:pStyle w:val="Textosinformato"/>
        <w:rPr>
          <w:szCs w:val="24"/>
        </w:rPr>
      </w:pPr>
    </w:p>
    <w:p w:rsidR="0014586E" w:rsidRDefault="00A73086" w:rsidP="001916F4">
      <w:pPr>
        <w:pStyle w:val="Textosinformato"/>
        <w:jc w:val="center"/>
        <w:rPr>
          <w:b/>
          <w:szCs w:val="24"/>
        </w:rPr>
      </w:pPr>
      <w:r>
        <w:rPr>
          <w:b/>
          <w:szCs w:val="24"/>
        </w:rPr>
        <w:t>- 3</w:t>
      </w:r>
      <w:r w:rsidRPr="0052553A">
        <w:rPr>
          <w:b/>
          <w:szCs w:val="24"/>
        </w:rPr>
        <w:t xml:space="preserve"> </w:t>
      </w:r>
      <w:r w:rsidR="001916F4">
        <w:rPr>
          <w:b/>
          <w:szCs w:val="24"/>
        </w:rPr>
        <w:t>–</w:t>
      </w:r>
    </w:p>
    <w:p w:rsidR="001916F4" w:rsidRPr="0052553A" w:rsidRDefault="001916F4" w:rsidP="00CD0098">
      <w:pPr>
        <w:pStyle w:val="Textosinformato"/>
        <w:rPr>
          <w:b/>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1916F4" w:rsidRPr="0052553A">
        <w:rPr>
          <w:rFonts w:ascii="Century Gothic" w:hAnsi="Century Gothic"/>
          <w:b w:val="0"/>
          <w:sz w:val="24"/>
          <w:szCs w:val="24"/>
        </w:rPr>
        <w:t>discusión y en su caso aprobación del proye</w:t>
      </w:r>
      <w:r w:rsidR="001916F4">
        <w:rPr>
          <w:rFonts w:ascii="Century Gothic" w:hAnsi="Century Gothic"/>
          <w:b w:val="0"/>
          <w:sz w:val="24"/>
          <w:szCs w:val="24"/>
        </w:rPr>
        <w:t>cto de sentencia del expediente del</w:t>
      </w:r>
      <w:r w:rsidR="00CD0098">
        <w:rPr>
          <w:rFonts w:ascii="Century Gothic" w:hAnsi="Century Gothic"/>
          <w:b w:val="0"/>
          <w:sz w:val="24"/>
          <w:szCs w:val="24"/>
        </w:rPr>
        <w:t xml:space="preserve"> Incidente de Suspensión VI-4344</w:t>
      </w:r>
      <w:r w:rsidR="001916F4">
        <w:rPr>
          <w:rFonts w:ascii="Century Gothic" w:hAnsi="Century Gothic"/>
          <w:b w:val="0"/>
          <w:sz w:val="24"/>
          <w:szCs w:val="24"/>
        </w:rPr>
        <w:t>/2021</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46558F">
            <w:pPr>
              <w:pStyle w:val="Textosinformato"/>
              <w:rPr>
                <w:rFonts w:eastAsia="Calibri"/>
                <w:szCs w:val="24"/>
              </w:rPr>
            </w:pPr>
            <w:r w:rsidRPr="0091370E">
              <w:rPr>
                <w:rFonts w:eastAsia="Calibri"/>
                <w:b/>
                <w:szCs w:val="24"/>
              </w:rPr>
              <w:t>ACU/SS/</w:t>
            </w:r>
            <w:r w:rsidR="00CD0098">
              <w:rPr>
                <w:rFonts w:eastAsia="Calibri"/>
                <w:b/>
                <w:szCs w:val="24"/>
              </w:rPr>
              <w:t>02/11</w:t>
            </w:r>
            <w:r w:rsidR="002C047B">
              <w:rPr>
                <w:rFonts w:eastAsia="Calibri"/>
                <w:b/>
                <w:szCs w:val="24"/>
              </w:rPr>
              <w:t>/E/2022</w:t>
            </w:r>
            <w:r w:rsidRPr="0091370E">
              <w:rPr>
                <w:rFonts w:eastAsia="Calibri"/>
                <w:b/>
                <w:szCs w:val="24"/>
              </w:rPr>
              <w:t xml:space="preserve">. </w:t>
            </w:r>
            <w:r w:rsidR="001916F4" w:rsidRPr="00930EA1">
              <w:rPr>
                <w:rFonts w:eastAsia="Calibri"/>
                <w:szCs w:val="24"/>
                <w:lang w:val="es-MX"/>
              </w:rPr>
              <w:t>Con fundamento en lo dispuesto por el</w:t>
            </w:r>
            <w:r w:rsidR="001916F4">
              <w:rPr>
                <w:rFonts w:eastAsia="Calibri"/>
                <w:szCs w:val="24"/>
                <w:lang w:val="es-MX"/>
              </w:rPr>
              <w:t xml:space="preserve"> artículo 8 numeral 1 fracción XIX y XX </w:t>
            </w:r>
            <w:r w:rsidR="001916F4" w:rsidRPr="00930EA1">
              <w:rPr>
                <w:rFonts w:eastAsia="Calibri"/>
                <w:szCs w:val="24"/>
                <w:lang w:val="es-MX"/>
              </w:rPr>
              <w:t xml:space="preserve">de la Ley Orgánica del Tribunal de Justicia Administrativa del Estado de Jalisco, articulo </w:t>
            </w:r>
            <w:r w:rsidR="001916F4">
              <w:rPr>
                <w:rFonts w:eastAsia="Calibri"/>
                <w:szCs w:val="24"/>
                <w:lang w:val="es-MX"/>
              </w:rPr>
              <w:t>70 Nonies</w:t>
            </w:r>
            <w:r w:rsidR="001916F4"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001916F4" w:rsidRPr="0091370E">
              <w:rPr>
                <w:rFonts w:eastAsia="Calibri"/>
                <w:szCs w:val="24"/>
              </w:rPr>
              <w:t>,</w:t>
            </w:r>
            <w:r w:rsidR="001916F4">
              <w:rPr>
                <w:rFonts w:eastAsia="Calibri"/>
                <w:szCs w:val="24"/>
              </w:rPr>
              <w:t xml:space="preserve"> los Magistrados integrantes de la Sala Superior del Tribunal de Justicia Administrativa del Estado de Jalisco, aprobaron por unanimidad de votos el proyecto de sentencia del Incide</w:t>
            </w:r>
            <w:r w:rsidR="007372D8">
              <w:rPr>
                <w:rFonts w:eastAsia="Calibri"/>
                <w:szCs w:val="24"/>
              </w:rPr>
              <w:t>nte de Suspensión del expediente</w:t>
            </w:r>
            <w:r w:rsidR="00CD0098">
              <w:rPr>
                <w:rFonts w:eastAsia="Calibri"/>
                <w:szCs w:val="24"/>
              </w:rPr>
              <w:t xml:space="preserve"> II-4344</w:t>
            </w:r>
            <w:r w:rsidR="001916F4">
              <w:rPr>
                <w:rFonts w:eastAsia="Calibri"/>
                <w:szCs w:val="24"/>
              </w:rPr>
              <w:t>/2021 Facultad de Atracción</w:t>
            </w:r>
            <w:r w:rsidR="007D2C81">
              <w:rPr>
                <w:rFonts w:eastAsia="Calibri"/>
                <w:szCs w:val="24"/>
              </w:rPr>
              <w:t>.</w:t>
            </w:r>
            <w:r>
              <w:rPr>
                <w:rFonts w:eastAsia="Calibri"/>
                <w:szCs w:val="24"/>
              </w:rPr>
              <w:t xml:space="preserve">  </w:t>
            </w:r>
          </w:p>
        </w:tc>
      </w:tr>
    </w:tbl>
    <w:p w:rsidR="00817F18" w:rsidRDefault="00817F18" w:rsidP="00170CB3">
      <w:pPr>
        <w:pStyle w:val="Textosinformato"/>
        <w:rPr>
          <w:b/>
          <w:szCs w:val="24"/>
          <w:lang w:val="es-MX"/>
        </w:rPr>
      </w:pPr>
    </w:p>
    <w:p w:rsidR="00CD0098" w:rsidRDefault="00CD0098" w:rsidP="00CD0098">
      <w:pPr>
        <w:pStyle w:val="Textosinformato"/>
        <w:jc w:val="center"/>
        <w:rPr>
          <w:b/>
          <w:szCs w:val="24"/>
        </w:rPr>
      </w:pPr>
      <w:r>
        <w:rPr>
          <w:b/>
          <w:szCs w:val="24"/>
        </w:rPr>
        <w:t>- 4</w:t>
      </w:r>
      <w:r w:rsidRPr="0052553A">
        <w:rPr>
          <w:b/>
          <w:szCs w:val="24"/>
        </w:rPr>
        <w:t xml:space="preserve"> </w:t>
      </w:r>
      <w:r>
        <w:rPr>
          <w:b/>
          <w:szCs w:val="24"/>
        </w:rPr>
        <w:t>–</w:t>
      </w:r>
    </w:p>
    <w:p w:rsidR="00CD0098" w:rsidRPr="0052553A" w:rsidRDefault="00CD0098" w:rsidP="00CD0098">
      <w:pPr>
        <w:pStyle w:val="Textosinformato"/>
        <w:rPr>
          <w:b/>
          <w:szCs w:val="24"/>
        </w:rPr>
      </w:pPr>
    </w:p>
    <w:p w:rsidR="00CD0098" w:rsidRDefault="00CD0098" w:rsidP="00CD0098">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w:t>
      </w:r>
      <w:r w:rsidR="001525B9">
        <w:rPr>
          <w:rFonts w:ascii="Century Gothic" w:hAnsi="Century Gothic"/>
          <w:b w:val="0"/>
          <w:sz w:val="24"/>
          <w:szCs w:val="24"/>
        </w:rPr>
        <w:t xml:space="preserve"> Incidente de Suspensión II-4345</w:t>
      </w:r>
      <w:r>
        <w:rPr>
          <w:rFonts w:ascii="Century Gothic" w:hAnsi="Century Gothic"/>
          <w:b w:val="0"/>
          <w:sz w:val="24"/>
          <w:szCs w:val="24"/>
        </w:rPr>
        <w:t>/2021.</w:t>
      </w:r>
    </w:p>
    <w:p w:rsidR="00CD0098" w:rsidRPr="0054501A" w:rsidRDefault="00CD0098" w:rsidP="00CD0098">
      <w:pPr>
        <w:pStyle w:val="Sangradetextonormal"/>
        <w:ind w:left="-142" w:firstLine="0"/>
        <w:jc w:val="both"/>
        <w:rPr>
          <w:rFonts w:ascii="Century Gothic" w:hAnsi="Century Gothic"/>
          <w:b w:val="0"/>
          <w:i/>
          <w:sz w:val="24"/>
          <w:szCs w:val="24"/>
        </w:rPr>
      </w:pPr>
    </w:p>
    <w:p w:rsidR="00CD0098" w:rsidRDefault="00CD0098" w:rsidP="00CD0098">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CD0098" w:rsidRPr="00731098" w:rsidRDefault="00CD0098" w:rsidP="00CD009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098" w:rsidRPr="0091370E" w:rsidTr="009E39D3">
        <w:tc>
          <w:tcPr>
            <w:tcW w:w="8934" w:type="dxa"/>
            <w:shd w:val="clear" w:color="auto" w:fill="auto"/>
          </w:tcPr>
          <w:p w:rsidR="00CD0098" w:rsidRPr="0091370E" w:rsidRDefault="00CD0098" w:rsidP="009E39D3">
            <w:pPr>
              <w:pStyle w:val="Textosinformato"/>
              <w:rPr>
                <w:rFonts w:eastAsia="Calibri"/>
                <w:szCs w:val="24"/>
              </w:rPr>
            </w:pPr>
            <w:r w:rsidRPr="0091370E">
              <w:rPr>
                <w:rFonts w:eastAsia="Calibri"/>
                <w:b/>
                <w:szCs w:val="24"/>
              </w:rPr>
              <w:t>ACU/SS/</w:t>
            </w:r>
            <w:r w:rsidR="001525B9">
              <w:rPr>
                <w:rFonts w:eastAsia="Calibri"/>
                <w:b/>
                <w:szCs w:val="24"/>
              </w:rPr>
              <w:t>03</w:t>
            </w:r>
            <w:r>
              <w:rPr>
                <w:rFonts w:eastAsia="Calibri"/>
                <w:b/>
                <w:szCs w:val="24"/>
              </w:rPr>
              <w:t>/11/E/2022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70 Nonies</w:t>
            </w:r>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expediente I</w:t>
            </w:r>
            <w:r w:rsidR="001525B9">
              <w:rPr>
                <w:rFonts w:eastAsia="Calibri"/>
                <w:szCs w:val="24"/>
              </w:rPr>
              <w:t>I-4345</w:t>
            </w:r>
            <w:r>
              <w:rPr>
                <w:rFonts w:eastAsia="Calibri"/>
                <w:szCs w:val="24"/>
              </w:rPr>
              <w:t xml:space="preserve">/2021 Facultad de Atracción.  </w:t>
            </w:r>
          </w:p>
        </w:tc>
      </w:tr>
    </w:tbl>
    <w:p w:rsidR="00CD0098" w:rsidRPr="0010367F" w:rsidRDefault="00CD009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525B9">
        <w:rPr>
          <w:b/>
          <w:szCs w:val="24"/>
        </w:rPr>
        <w:t xml:space="preserve"> horas con quince</w:t>
      </w:r>
      <w:r>
        <w:rPr>
          <w:b/>
          <w:szCs w:val="24"/>
        </w:rPr>
        <w:t xml:space="preserve"> </w:t>
      </w:r>
      <w:r w:rsidRPr="0091370E">
        <w:rPr>
          <w:b/>
          <w:szCs w:val="24"/>
        </w:rPr>
        <w:t>minutos</w:t>
      </w:r>
      <w:r w:rsidRPr="0091370E">
        <w:rPr>
          <w:szCs w:val="24"/>
        </w:rPr>
        <w:t xml:space="preserve"> del </w:t>
      </w:r>
      <w:r w:rsidR="001525B9">
        <w:rPr>
          <w:b/>
          <w:szCs w:val="24"/>
        </w:rPr>
        <w:t>treinta y uno</w:t>
      </w:r>
      <w:r w:rsidR="00CF7D93">
        <w:rPr>
          <w:b/>
          <w:szCs w:val="24"/>
        </w:rPr>
        <w:t xml:space="preserve">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6E14A6">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FF" w:rsidRDefault="00EC4DFF" w:rsidP="003041CF">
      <w:pPr>
        <w:spacing w:after="0" w:line="240" w:lineRule="auto"/>
      </w:pPr>
      <w:r>
        <w:separator/>
      </w:r>
    </w:p>
  </w:endnote>
  <w:endnote w:type="continuationSeparator" w:id="0">
    <w:p w:rsidR="00EC4DFF" w:rsidRDefault="00EC4DF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00F4B">
      <w:rPr>
        <w:rStyle w:val="Nmerodepgina"/>
        <w:noProof/>
      </w:rPr>
      <w:t>1</w:t>
    </w:r>
    <w:r>
      <w:rPr>
        <w:rStyle w:val="Nmerodepgina"/>
      </w:rPr>
      <w:fldChar w:fldCharType="end"/>
    </w:r>
    <w:r w:rsidR="00BB02F4">
      <w:rPr>
        <w:rStyle w:val="Nmerodepgina"/>
        <w:sz w:val="18"/>
      </w:rPr>
      <w:t>/3</w:t>
    </w:r>
  </w:p>
  <w:p w:rsidR="007A710B" w:rsidRPr="0052553A" w:rsidRDefault="00630B8C" w:rsidP="001A3344">
    <w:pPr>
      <w:pStyle w:val="Piedepgina"/>
      <w:jc w:val="right"/>
      <w:rPr>
        <w:rStyle w:val="Nmerodepgina"/>
        <w:rFonts w:ascii="Century Gothic" w:hAnsi="Century Gothic"/>
        <w:smallCaps/>
      </w:rPr>
    </w:pPr>
    <w:r>
      <w:rPr>
        <w:rStyle w:val="Nmerodepgina"/>
        <w:rFonts w:ascii="Century Gothic" w:hAnsi="Century Gothic"/>
        <w:smallCaps/>
      </w:rPr>
      <w:t>DECIMA PRIMERA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30B8C" w:rsidP="007A710B">
    <w:pPr>
      <w:pStyle w:val="Piedepgina"/>
      <w:jc w:val="right"/>
      <w:rPr>
        <w:rStyle w:val="Nmerodepgina"/>
        <w:rFonts w:ascii="Century Gothic" w:hAnsi="Century Gothic"/>
        <w:smallCaps/>
      </w:rPr>
    </w:pPr>
    <w:r>
      <w:rPr>
        <w:rStyle w:val="Nmerodepgina"/>
        <w:rFonts w:ascii="Century Gothic" w:hAnsi="Century Gothic"/>
        <w:smallCaps/>
      </w:rPr>
      <w:t>TREINTA Y UNO</w:t>
    </w:r>
    <w:r w:rsidR="00CF7D93">
      <w:rPr>
        <w:rStyle w:val="Nmerodepgina"/>
        <w:rFonts w:ascii="Century Gothic" w:hAnsi="Century Gothic"/>
        <w:smallCaps/>
      </w:rPr>
      <w:t xml:space="preserve"> DE ENERO DE DOS MIL </w:t>
    </w:r>
    <w:r w:rsidR="0046558F">
      <w:rPr>
        <w:rStyle w:val="Nmerodepgina"/>
        <w:rFonts w:ascii="Century Gothic" w:hAnsi="Century Gothic"/>
        <w:smallCaps/>
      </w:rPr>
      <w:t>VEINTIDÓS</w:t>
    </w:r>
  </w:p>
  <w:p w:rsidR="007A710B" w:rsidRDefault="00B00F4B" w:rsidP="007A710B">
    <w:pPr>
      <w:pStyle w:val="Piedepgina"/>
    </w:pPr>
  </w:p>
  <w:p w:rsidR="00F13EE9" w:rsidRPr="007A710B" w:rsidRDefault="00B00F4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FF" w:rsidRDefault="00EC4DFF" w:rsidP="003041CF">
      <w:pPr>
        <w:spacing w:after="0" w:line="240" w:lineRule="auto"/>
      </w:pPr>
      <w:r>
        <w:separator/>
      </w:r>
    </w:p>
  </w:footnote>
  <w:footnote w:type="continuationSeparator" w:id="0">
    <w:p w:rsidR="00EC4DFF" w:rsidRDefault="00EC4DF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525B9"/>
    <w:rsid w:val="00163527"/>
    <w:rsid w:val="00170CB3"/>
    <w:rsid w:val="001723F9"/>
    <w:rsid w:val="0018453C"/>
    <w:rsid w:val="001916F4"/>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44E99"/>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30B8C"/>
    <w:rsid w:val="00652733"/>
    <w:rsid w:val="0065310D"/>
    <w:rsid w:val="006D5232"/>
    <w:rsid w:val="006E14A6"/>
    <w:rsid w:val="006E2893"/>
    <w:rsid w:val="006F3FCD"/>
    <w:rsid w:val="007105E1"/>
    <w:rsid w:val="00720DF4"/>
    <w:rsid w:val="007372D8"/>
    <w:rsid w:val="007466D8"/>
    <w:rsid w:val="007538E8"/>
    <w:rsid w:val="00777F54"/>
    <w:rsid w:val="007D2C81"/>
    <w:rsid w:val="007E3B50"/>
    <w:rsid w:val="007F3043"/>
    <w:rsid w:val="00817F18"/>
    <w:rsid w:val="0084757B"/>
    <w:rsid w:val="00866499"/>
    <w:rsid w:val="0088268B"/>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AF3AD4"/>
    <w:rsid w:val="00B00F4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0098"/>
    <w:rsid w:val="00CD3C05"/>
    <w:rsid w:val="00CF7D93"/>
    <w:rsid w:val="00D0010A"/>
    <w:rsid w:val="00D53897"/>
    <w:rsid w:val="00D83F69"/>
    <w:rsid w:val="00D90553"/>
    <w:rsid w:val="00DF164B"/>
    <w:rsid w:val="00DF2E8A"/>
    <w:rsid w:val="00E6097B"/>
    <w:rsid w:val="00E82D97"/>
    <w:rsid w:val="00EC4DFF"/>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2022-02-11T18:02:00Z</cp:lastPrinted>
  <dcterms:created xsi:type="dcterms:W3CDTF">2022-02-11T18:02:00Z</dcterms:created>
  <dcterms:modified xsi:type="dcterms:W3CDTF">2022-02-11T18:02:00Z</dcterms:modified>
</cp:coreProperties>
</file>