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0311E9F5"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F72363">
        <w:rPr>
          <w:rFonts w:ascii="Century Gothic" w:eastAsia="Times New Roman" w:hAnsi="Century Gothic" w:cs="Verdana"/>
          <w:b/>
          <w:sz w:val="28"/>
          <w:szCs w:val="28"/>
          <w:lang w:val="es-ES" w:eastAsia="es-ES"/>
        </w:rPr>
        <w:t>SEXTA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4AF15964"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F72363">
        <w:rPr>
          <w:rFonts w:ascii="Century Gothic" w:eastAsia="Times New Roman" w:hAnsi="Century Gothic" w:cs="Verdana"/>
          <w:b/>
          <w:sz w:val="24"/>
          <w:szCs w:val="24"/>
          <w:lang w:val="es-ES" w:eastAsia="es-ES"/>
        </w:rPr>
        <w:t>cuatro de marzo</w:t>
      </w:r>
      <w:r>
        <w:rPr>
          <w:rFonts w:ascii="Century Gothic" w:eastAsia="Times New Roman" w:hAnsi="Century Gothic" w:cs="Verdana"/>
          <w:b/>
          <w:sz w:val="24"/>
          <w:szCs w:val="24"/>
          <w:lang w:val="es-ES" w:eastAsia="es-ES"/>
        </w:rPr>
        <w:t xml:space="preserve">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F72363">
        <w:rPr>
          <w:rFonts w:ascii="Century Gothic" w:eastAsia="Times New Roman" w:hAnsi="Century Gothic" w:cs="Verdana"/>
          <w:b/>
          <w:sz w:val="24"/>
          <w:szCs w:val="24"/>
          <w:lang w:val="es-ES" w:eastAsia="es-ES"/>
        </w:rPr>
        <w:t>Sexta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77777777"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5335058B" w14:textId="2CAB8217" w:rsidR="00647647" w:rsidRDefault="00064D9B" w:rsidP="00647647">
      <w:pPr>
        <w:pStyle w:val="Sangradetextonormal"/>
        <w:numPr>
          <w:ilvl w:val="0"/>
          <w:numId w:val="1"/>
        </w:numPr>
        <w:jc w:val="both"/>
        <w:rPr>
          <w:rFonts w:ascii="Century Gothic" w:hAnsi="Century Gothic"/>
          <w:b w:val="0"/>
          <w:sz w:val="24"/>
          <w:szCs w:val="24"/>
        </w:rPr>
      </w:pPr>
      <w:bookmarkStart w:id="1" w:name="_Hlk169259916"/>
      <w:bookmarkStart w:id="2" w:name="_Hlk158972237"/>
      <w:r>
        <w:rPr>
          <w:rFonts w:ascii="Century Gothic" w:hAnsi="Century Gothic"/>
          <w:b w:val="0"/>
          <w:sz w:val="24"/>
          <w:szCs w:val="24"/>
        </w:rPr>
        <w:lastRenderedPageBreak/>
        <w:t>A</w:t>
      </w:r>
      <w:r w:rsidRPr="00993705">
        <w:rPr>
          <w:rFonts w:ascii="Century Gothic" w:hAnsi="Century Gothic"/>
          <w:b w:val="0"/>
          <w:sz w:val="24"/>
          <w:szCs w:val="24"/>
        </w:rPr>
        <w:t xml:space="preserve">nálisis, </w:t>
      </w:r>
      <w:bookmarkStart w:id="3" w:name="_Hlk188961149"/>
      <w:bookmarkStart w:id="4" w:name="_Hlk188963461"/>
      <w:r w:rsidRPr="00993705">
        <w:rPr>
          <w:rFonts w:ascii="Century Gothic" w:hAnsi="Century Gothic"/>
          <w:b w:val="0"/>
          <w:sz w:val="24"/>
          <w:szCs w:val="24"/>
        </w:rPr>
        <w:t xml:space="preserve">discusión y en su caso aprobación del proyecto de </w:t>
      </w:r>
      <w:r w:rsidR="00F72363">
        <w:rPr>
          <w:rFonts w:ascii="Century Gothic" w:hAnsi="Century Gothic"/>
          <w:b w:val="0"/>
          <w:sz w:val="24"/>
          <w:szCs w:val="24"/>
        </w:rPr>
        <w:t>Aclaración de S</w:t>
      </w:r>
      <w:r w:rsidRPr="00993705">
        <w:rPr>
          <w:rFonts w:ascii="Century Gothic" w:hAnsi="Century Gothic"/>
          <w:b w:val="0"/>
          <w:sz w:val="24"/>
          <w:szCs w:val="24"/>
        </w:rPr>
        <w:t>entencia del</w:t>
      </w:r>
      <w:r w:rsidR="00D04503">
        <w:rPr>
          <w:rFonts w:ascii="Century Gothic" w:hAnsi="Century Gothic"/>
          <w:b w:val="0"/>
          <w:sz w:val="24"/>
          <w:szCs w:val="24"/>
        </w:rPr>
        <w:t xml:space="preserve"> </w:t>
      </w:r>
      <w:r w:rsidR="00F72363">
        <w:rPr>
          <w:rFonts w:ascii="Century Gothic" w:hAnsi="Century Gothic"/>
          <w:b w:val="0"/>
          <w:sz w:val="24"/>
          <w:szCs w:val="24"/>
        </w:rPr>
        <w:t>Juicio de Responsabilidad Patrimonial</w:t>
      </w:r>
      <w:r w:rsidR="00647647">
        <w:rPr>
          <w:rFonts w:ascii="Century Gothic" w:hAnsi="Century Gothic"/>
          <w:b w:val="0"/>
          <w:sz w:val="24"/>
          <w:szCs w:val="24"/>
        </w:rPr>
        <w:t xml:space="preserve"> </w:t>
      </w:r>
      <w:r w:rsidR="0061497F">
        <w:rPr>
          <w:rFonts w:ascii="Century Gothic" w:hAnsi="Century Gothic"/>
          <w:b w:val="0"/>
          <w:sz w:val="24"/>
          <w:szCs w:val="24"/>
        </w:rPr>
        <w:t>6</w:t>
      </w:r>
      <w:r w:rsidR="00F72363">
        <w:rPr>
          <w:rFonts w:ascii="Century Gothic" w:hAnsi="Century Gothic"/>
          <w:b w:val="0"/>
          <w:sz w:val="24"/>
          <w:szCs w:val="24"/>
        </w:rPr>
        <w:t>3</w:t>
      </w:r>
      <w:r w:rsidR="00647647">
        <w:rPr>
          <w:rFonts w:ascii="Century Gothic" w:hAnsi="Century Gothic"/>
          <w:b w:val="0"/>
          <w:sz w:val="24"/>
          <w:szCs w:val="24"/>
        </w:rPr>
        <w:t>/20</w:t>
      </w:r>
      <w:r w:rsidR="00EC7A97">
        <w:rPr>
          <w:rFonts w:ascii="Century Gothic" w:hAnsi="Century Gothic"/>
          <w:b w:val="0"/>
          <w:sz w:val="24"/>
          <w:szCs w:val="24"/>
        </w:rPr>
        <w:t>2</w:t>
      </w:r>
      <w:r w:rsidR="00F72363">
        <w:rPr>
          <w:rFonts w:ascii="Century Gothic" w:hAnsi="Century Gothic"/>
          <w:b w:val="0"/>
          <w:sz w:val="24"/>
          <w:szCs w:val="24"/>
        </w:rPr>
        <w:t>3</w:t>
      </w:r>
      <w:bookmarkEnd w:id="3"/>
      <w:bookmarkEnd w:id="4"/>
      <w:r w:rsidR="0031052D">
        <w:rPr>
          <w:rFonts w:ascii="Century Gothic" w:hAnsi="Century Gothic"/>
          <w:b w:val="0"/>
          <w:sz w:val="24"/>
          <w:szCs w:val="24"/>
        </w:rPr>
        <w:t>.</w:t>
      </w:r>
    </w:p>
    <w:p w14:paraId="0C5C9F68" w14:textId="386FF77B" w:rsidR="0031052D" w:rsidRPr="00647647" w:rsidRDefault="0031052D" w:rsidP="00647647">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Asuntos varios</w:t>
      </w:r>
      <w:r w:rsidRPr="00647647">
        <w:rPr>
          <w:rFonts w:ascii="Century Gothic" w:hAnsi="Century Gothic"/>
          <w:b w:val="0"/>
          <w:sz w:val="24"/>
          <w:szCs w:val="24"/>
          <w:lang w:val="es-MX"/>
        </w:rPr>
        <w:t xml:space="preserve">; </w:t>
      </w:r>
      <w:r w:rsidRPr="00647647">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5" w:name="_Hlk158972244"/>
      <w:bookmarkEnd w:id="1"/>
      <w:bookmarkEnd w:id="2"/>
      <w:r w:rsidRPr="00993705">
        <w:rPr>
          <w:rFonts w:ascii="Century Gothic" w:hAnsi="Century Gothic"/>
          <w:b w:val="0"/>
          <w:sz w:val="24"/>
          <w:szCs w:val="24"/>
        </w:rPr>
        <w:t>Clausura</w:t>
      </w:r>
      <w:bookmarkEnd w:id="0"/>
      <w:bookmarkEnd w:id="5"/>
      <w:r w:rsidRPr="00993705">
        <w:rPr>
          <w:rFonts w:ascii="Century Gothic" w:hAnsi="Century Gothic"/>
          <w:b w:val="0"/>
          <w:sz w:val="24"/>
          <w:szCs w:val="24"/>
        </w:rPr>
        <w:t>.</w:t>
      </w:r>
    </w:p>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4B9BCEAC"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F72363">
              <w:rPr>
                <w:rFonts w:eastAsia="Calibri"/>
                <w:b/>
                <w:szCs w:val="24"/>
              </w:rPr>
              <w:t>6</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27662A88" w14:textId="77777777" w:rsidR="002A5414" w:rsidRDefault="002A5414" w:rsidP="00731141">
      <w:pPr>
        <w:pStyle w:val="Textosinformato"/>
        <w:jc w:val="center"/>
        <w:rPr>
          <w:b/>
          <w:szCs w:val="24"/>
        </w:rPr>
      </w:pPr>
      <w:r w:rsidRPr="00B339E5">
        <w:rPr>
          <w:b/>
          <w:szCs w:val="24"/>
        </w:rPr>
        <w:t>- 3 –</w:t>
      </w:r>
    </w:p>
    <w:p w14:paraId="7BFEFBD6" w14:textId="77777777" w:rsidR="004355B1" w:rsidRPr="00B339E5" w:rsidRDefault="004355B1"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r w:rsidRPr="007C7030">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798C7811"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F72363" w:rsidRPr="00F72363">
        <w:rPr>
          <w:rFonts w:ascii="Century Gothic" w:hAnsi="Century Gothic"/>
          <w:b w:val="0"/>
          <w:sz w:val="24"/>
          <w:szCs w:val="24"/>
          <w:lang w:val="es-MX"/>
        </w:rPr>
        <w:t>discusión y en su caso aprobación del proyecto de Aclaración de Sentencia del Juicio de Responsabilidad Patrimonial 63/2023</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lastRenderedPageBreak/>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29E71867"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F72363">
              <w:rPr>
                <w:rFonts w:eastAsia="Calibri"/>
                <w:b/>
                <w:szCs w:val="24"/>
              </w:rPr>
              <w:t>6</w:t>
            </w:r>
            <w:r>
              <w:rPr>
                <w:rFonts w:eastAsia="Calibri"/>
                <w:b/>
                <w:szCs w:val="24"/>
              </w:rPr>
              <w:t>/E/202</w:t>
            </w:r>
            <w:r w:rsidR="005C4C15">
              <w:rPr>
                <w:rFonts w:eastAsia="Calibri"/>
                <w:b/>
                <w:szCs w:val="24"/>
              </w:rPr>
              <w:t>5</w:t>
            </w:r>
            <w:r w:rsidRPr="00B339E5">
              <w:rPr>
                <w:rFonts w:eastAsia="Calibri"/>
                <w:b/>
                <w:szCs w:val="24"/>
              </w:rPr>
              <w:t xml:space="preserve">. </w:t>
            </w:r>
            <w:r w:rsidR="00F72363" w:rsidRPr="00F72363">
              <w:rPr>
                <w:rFonts w:eastAsia="Calibri"/>
                <w:color w:val="000000" w:themeColor="text1"/>
                <w:szCs w:val="24"/>
                <w:lang w:val="es-MX"/>
              </w:rPr>
              <w:t>Con fundamento en lo dispuesto por el artículo 8 numeral 1 fracción I  de la Ley Orgánica del Tribunal de Justicia Administrativa del Estado de Jalisco, articulo 82 de la Ley de Justicia Administrativa del Estado de Jalisco y el artículo 18 fracciones II y VIII y 19 del Reglamento Interno del Tribunal de Justicia Administrativa del Estado de Jalisco</w:t>
            </w:r>
            <w:r w:rsidR="0098651A" w:rsidRPr="005B0990">
              <w:rPr>
                <w:rFonts w:eastAsia="Calibri"/>
                <w:color w:val="000000" w:themeColor="text1"/>
                <w:szCs w:val="24"/>
              </w:rPr>
              <w:t xml:space="preserve">, 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w:t>
            </w:r>
            <w:r w:rsidR="00F72363">
              <w:rPr>
                <w:rFonts w:eastAsia="Calibri"/>
                <w:color w:val="000000" w:themeColor="text1"/>
                <w:szCs w:val="24"/>
              </w:rPr>
              <w:t xml:space="preserve"> de Aclaración</w:t>
            </w:r>
            <w:r w:rsidR="0098651A" w:rsidRPr="005B0990">
              <w:rPr>
                <w:rFonts w:eastAsia="Calibri"/>
                <w:color w:val="000000" w:themeColor="text1"/>
                <w:szCs w:val="24"/>
              </w:rPr>
              <w:t xml:space="preserve"> de </w:t>
            </w:r>
            <w:r w:rsidR="00F72363">
              <w:rPr>
                <w:rFonts w:eastAsia="Calibri"/>
                <w:color w:val="000000" w:themeColor="text1"/>
                <w:szCs w:val="24"/>
              </w:rPr>
              <w:t>S</w:t>
            </w:r>
            <w:r w:rsidR="0098651A" w:rsidRPr="005B0990">
              <w:rPr>
                <w:rFonts w:eastAsia="Calibri"/>
                <w:color w:val="000000" w:themeColor="text1"/>
                <w:szCs w:val="24"/>
              </w:rPr>
              <w:t xml:space="preserve">entencia del </w:t>
            </w:r>
            <w:r w:rsidR="00F72363">
              <w:rPr>
                <w:rFonts w:eastAsia="Calibri"/>
                <w:color w:val="000000" w:themeColor="text1"/>
                <w:szCs w:val="24"/>
              </w:rPr>
              <w:t>Juicio de Responsabilidad Patrimonial</w:t>
            </w:r>
            <w:r w:rsidR="0098651A" w:rsidRPr="005B0990">
              <w:rPr>
                <w:rFonts w:eastAsia="Calibri"/>
                <w:color w:val="000000" w:themeColor="text1"/>
                <w:szCs w:val="24"/>
              </w:rPr>
              <w:t xml:space="preserve"> </w:t>
            </w:r>
            <w:r w:rsidR="0061497F">
              <w:rPr>
                <w:rFonts w:eastAsia="Calibri"/>
                <w:color w:val="000000" w:themeColor="text1"/>
                <w:szCs w:val="24"/>
              </w:rPr>
              <w:t>6</w:t>
            </w:r>
            <w:r w:rsidR="00F72363">
              <w:rPr>
                <w:rFonts w:eastAsia="Calibri"/>
                <w:color w:val="000000" w:themeColor="text1"/>
                <w:szCs w:val="24"/>
              </w:rPr>
              <w:t>3</w:t>
            </w:r>
            <w:r w:rsidR="0098651A">
              <w:rPr>
                <w:rFonts w:eastAsia="Calibri"/>
                <w:color w:val="000000" w:themeColor="text1"/>
                <w:szCs w:val="24"/>
              </w:rPr>
              <w:t>/20</w:t>
            </w:r>
            <w:r w:rsidR="00C01795">
              <w:rPr>
                <w:rFonts w:eastAsia="Calibri"/>
                <w:color w:val="000000" w:themeColor="text1"/>
                <w:szCs w:val="24"/>
              </w:rPr>
              <w:t>2</w:t>
            </w:r>
            <w:r w:rsidR="00F72363">
              <w:rPr>
                <w:rFonts w:eastAsia="Calibri"/>
                <w:color w:val="000000" w:themeColor="text1"/>
                <w:szCs w:val="24"/>
              </w:rPr>
              <w:t>3</w:t>
            </w:r>
            <w:r w:rsidR="008E09DA">
              <w:rPr>
                <w:rFonts w:eastAsia="Calibri"/>
                <w:color w:val="000000" w:themeColor="text1"/>
                <w:szCs w:val="24"/>
              </w:rPr>
              <w:t>.</w:t>
            </w:r>
          </w:p>
        </w:tc>
      </w:tr>
    </w:tbl>
    <w:p w14:paraId="2EDC307E" w14:textId="77777777" w:rsidR="005F63EB" w:rsidRDefault="005F63EB" w:rsidP="00463F05">
      <w:pPr>
        <w:pStyle w:val="Textosinformato"/>
        <w:rPr>
          <w:b/>
          <w:szCs w:val="24"/>
        </w:rPr>
      </w:pPr>
    </w:p>
    <w:p w14:paraId="7542B3E3" w14:textId="0FA29214" w:rsidR="00463F05" w:rsidRPr="00463F05" w:rsidRDefault="004355B1" w:rsidP="005F63EB">
      <w:pPr>
        <w:pStyle w:val="Textosinformato"/>
        <w:jc w:val="center"/>
        <w:rPr>
          <w:b/>
          <w:szCs w:val="24"/>
        </w:rPr>
      </w:pPr>
      <w:r w:rsidRPr="00B339E5">
        <w:rPr>
          <w:b/>
          <w:szCs w:val="24"/>
        </w:rPr>
        <w:t xml:space="preserve">- </w:t>
      </w:r>
      <w:r w:rsidR="00F72363">
        <w:rPr>
          <w:b/>
          <w:szCs w:val="24"/>
        </w:rPr>
        <w:t>4</w:t>
      </w:r>
      <w:r w:rsidRPr="00B339E5">
        <w:rPr>
          <w:b/>
          <w:szCs w:val="24"/>
        </w:rPr>
        <w:t xml:space="preserve"> </w:t>
      </w:r>
      <w:r w:rsidR="005F63EB">
        <w:rPr>
          <w:b/>
          <w:szCs w:val="24"/>
        </w:rPr>
        <w:t>-</w:t>
      </w:r>
    </w:p>
    <w:p w14:paraId="24A86477" w14:textId="6B22E4CC" w:rsidR="0031052D" w:rsidRDefault="0031052D" w:rsidP="002649F6">
      <w:pPr>
        <w:pStyle w:val="Textosinformato"/>
        <w:rPr>
          <w:b/>
          <w:szCs w:val="24"/>
        </w:rPr>
      </w:pPr>
    </w:p>
    <w:p w14:paraId="06A1305F" w14:textId="77777777" w:rsidR="0031052D" w:rsidRPr="00B339E5" w:rsidRDefault="0031052D" w:rsidP="0031052D">
      <w:pPr>
        <w:pStyle w:val="Sangradetextonormal"/>
        <w:ind w:left="0"/>
        <w:jc w:val="both"/>
        <w:rPr>
          <w:rFonts w:ascii="Century Gothic" w:hAnsi="Century Gothic"/>
          <w:b w:val="0"/>
          <w:sz w:val="24"/>
          <w:szCs w:val="24"/>
          <w:lang w:val="es-MX"/>
        </w:rPr>
      </w:pPr>
      <w:r w:rsidRPr="00B339E5">
        <w:rPr>
          <w:sz w:val="24"/>
          <w:szCs w:val="24"/>
          <w:lang w:val="es-MX"/>
        </w:rPr>
        <w:t xml:space="preserve">         </w:t>
      </w: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70C9726B" w14:textId="77777777" w:rsidR="0031052D" w:rsidRPr="00B339E5" w:rsidRDefault="0031052D" w:rsidP="0031052D">
      <w:pPr>
        <w:pStyle w:val="Sangradetextonormal"/>
        <w:ind w:left="0"/>
        <w:jc w:val="both"/>
        <w:rPr>
          <w:rFonts w:ascii="Century Gothic" w:hAnsi="Century Gothic"/>
          <w:b w:val="0"/>
          <w:sz w:val="24"/>
          <w:szCs w:val="24"/>
          <w:lang w:val="es-MX"/>
        </w:rPr>
      </w:pPr>
    </w:p>
    <w:p w14:paraId="7B375EC4" w14:textId="77777777" w:rsidR="0031052D" w:rsidRDefault="0031052D" w:rsidP="0031052D">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w:t>
      </w:r>
      <w:r>
        <w:rPr>
          <w:rFonts w:ascii="Century Gothic" w:hAnsi="Century Gothic"/>
          <w:b w:val="0"/>
          <w:sz w:val="24"/>
          <w:szCs w:val="24"/>
          <w:lang w:val="es-MX"/>
        </w:rPr>
        <w:t xml:space="preserve"> el cuatro, correspondiente a los asuntos varios</w:t>
      </w:r>
      <w:r w:rsidRPr="00B339E5">
        <w:rPr>
          <w:rFonts w:ascii="Century Gothic" w:hAnsi="Century Gothic"/>
          <w:b w:val="0"/>
          <w:sz w:val="24"/>
          <w:szCs w:val="24"/>
          <w:lang w:val="es-MX"/>
        </w:rPr>
        <w:t xml:space="preserve">. </w:t>
      </w:r>
    </w:p>
    <w:p w14:paraId="163B74A0" w14:textId="77777777" w:rsidR="0031052D" w:rsidRDefault="0031052D" w:rsidP="0031052D">
      <w:pPr>
        <w:pStyle w:val="Sangradetextonormal"/>
        <w:ind w:left="0" w:firstLine="0"/>
        <w:jc w:val="both"/>
        <w:rPr>
          <w:sz w:val="24"/>
          <w:szCs w:val="24"/>
        </w:rPr>
      </w:pPr>
    </w:p>
    <w:p w14:paraId="01F5D580" w14:textId="54ACDCE1" w:rsidR="0031052D" w:rsidRPr="00E817AD" w:rsidRDefault="0031052D" w:rsidP="0031052D">
      <w:pPr>
        <w:pStyle w:val="Sangradetextonormal"/>
        <w:ind w:left="0" w:firstLine="0"/>
        <w:jc w:val="both"/>
        <w:rPr>
          <w:rFonts w:ascii="Century Gothic" w:hAnsi="Century Gothic"/>
          <w:b w:val="0"/>
          <w:bCs/>
          <w:sz w:val="24"/>
          <w:szCs w:val="24"/>
        </w:rPr>
      </w:pPr>
      <w:r w:rsidRPr="00E817AD">
        <w:rPr>
          <w:rFonts w:ascii="Century Gothic" w:hAnsi="Century Gothic"/>
          <w:sz w:val="24"/>
          <w:szCs w:val="24"/>
        </w:rPr>
        <w:t>4.1</w:t>
      </w:r>
      <w:r>
        <w:rPr>
          <w:rFonts w:ascii="Century Gothic" w:hAnsi="Century Gothic"/>
          <w:b w:val="0"/>
          <w:bCs/>
          <w:sz w:val="24"/>
          <w:szCs w:val="24"/>
        </w:rPr>
        <w:t xml:space="preserve"> Continuando con el uso de la voz </w:t>
      </w:r>
      <w:r w:rsidRPr="00E817AD">
        <w:rPr>
          <w:rFonts w:ascii="Century Gothic" w:hAnsi="Century Gothic"/>
          <w:sz w:val="24"/>
          <w:szCs w:val="24"/>
        </w:rPr>
        <w:t>Secretario General de Acuerdo</w:t>
      </w:r>
      <w:r>
        <w:rPr>
          <w:rFonts w:ascii="Century Gothic" w:hAnsi="Century Gothic"/>
          <w:sz w:val="24"/>
          <w:szCs w:val="24"/>
        </w:rPr>
        <w:t>s</w:t>
      </w:r>
      <w:r>
        <w:rPr>
          <w:rFonts w:ascii="Century Gothic" w:hAnsi="Century Gothic"/>
          <w:b w:val="0"/>
          <w:bCs/>
          <w:sz w:val="24"/>
          <w:szCs w:val="24"/>
        </w:rPr>
        <w:t xml:space="preserve">: para ello, les doy cuenta del oficio </w:t>
      </w:r>
      <w:r w:rsidR="00291031">
        <w:rPr>
          <w:rFonts w:ascii="Century Gothic" w:hAnsi="Century Gothic"/>
          <w:b w:val="0"/>
          <w:bCs/>
          <w:sz w:val="24"/>
          <w:szCs w:val="24"/>
        </w:rPr>
        <w:t>2</w:t>
      </w:r>
      <w:r w:rsidR="0063390E">
        <w:rPr>
          <w:rFonts w:ascii="Century Gothic" w:hAnsi="Century Gothic"/>
          <w:b w:val="0"/>
          <w:bCs/>
          <w:sz w:val="24"/>
          <w:szCs w:val="24"/>
        </w:rPr>
        <w:t>89</w:t>
      </w:r>
      <w:r>
        <w:rPr>
          <w:rFonts w:ascii="Century Gothic" w:hAnsi="Century Gothic"/>
          <w:b w:val="0"/>
          <w:bCs/>
          <w:sz w:val="24"/>
          <w:szCs w:val="24"/>
        </w:rPr>
        <w:t xml:space="preserve">/2025, que remite el Magistrado Abel Octavio Salgado Peña, titular de la Cuarta Sala Unitaria, mediante el cual solicita licencia económica para ausentarse de sus labores </w:t>
      </w:r>
      <w:r w:rsidR="006A50E7">
        <w:rPr>
          <w:rFonts w:ascii="Century Gothic" w:hAnsi="Century Gothic"/>
          <w:b w:val="0"/>
          <w:bCs/>
          <w:sz w:val="24"/>
          <w:szCs w:val="24"/>
        </w:rPr>
        <w:t xml:space="preserve">el día seis </w:t>
      </w:r>
      <w:r>
        <w:rPr>
          <w:rFonts w:ascii="Century Gothic" w:hAnsi="Century Gothic"/>
          <w:b w:val="0"/>
          <w:bCs/>
          <w:sz w:val="24"/>
          <w:szCs w:val="24"/>
        </w:rPr>
        <w:t xml:space="preserve">de marzo de dos mil veinticinco, para atender asuntos de carácter personal.  </w:t>
      </w:r>
    </w:p>
    <w:p w14:paraId="4F0C4BE4" w14:textId="77777777" w:rsidR="0031052D" w:rsidRPr="00E817AD" w:rsidRDefault="0031052D" w:rsidP="0031052D">
      <w:pPr>
        <w:pStyle w:val="Sangradetextonormal"/>
        <w:ind w:left="0" w:firstLine="0"/>
        <w:jc w:val="both"/>
        <w:rPr>
          <w:rFonts w:ascii="Century Gothic" w:hAnsi="Century Gothic"/>
          <w:sz w:val="24"/>
          <w:szCs w:val="24"/>
        </w:rPr>
      </w:pPr>
    </w:p>
    <w:p w14:paraId="25C8531B" w14:textId="77777777" w:rsidR="0031052D" w:rsidRPr="00B339E5" w:rsidRDefault="0031052D" w:rsidP="0031052D">
      <w:pPr>
        <w:pStyle w:val="Textosinformato"/>
        <w:rPr>
          <w:szCs w:val="24"/>
        </w:rPr>
      </w:pPr>
      <w:r>
        <w:rPr>
          <w:szCs w:val="24"/>
        </w:rPr>
        <w:t xml:space="preserve">En uso de la voz el </w:t>
      </w:r>
      <w:r>
        <w:rPr>
          <w:b/>
          <w:bCs/>
          <w:szCs w:val="24"/>
        </w:rPr>
        <w:t xml:space="preserve">Magistrado Presidente: </w:t>
      </w:r>
      <w:r w:rsidRPr="00F51EE4">
        <w:rPr>
          <w:szCs w:val="24"/>
        </w:rPr>
        <w:t>En virtud de lo anterior</w:t>
      </w:r>
      <w:r>
        <w:rPr>
          <w:szCs w:val="24"/>
        </w:rPr>
        <w:t>,</w:t>
      </w:r>
      <w:r>
        <w:rPr>
          <w:b/>
          <w:szCs w:val="24"/>
        </w:rPr>
        <w:t xml:space="preserve"> </w:t>
      </w:r>
      <w:r>
        <w:rPr>
          <w:szCs w:val="24"/>
        </w:rPr>
        <w:t>la propuesta de la presidencia es para aprobar la licencia con goce de sueldo solicitada por el Magistrado Abel Octavio Salgado Peña, Titular de la Cuarta Sala Unitaria, s</w:t>
      </w:r>
      <w:r w:rsidRPr="00B339E5">
        <w:rPr>
          <w:szCs w:val="24"/>
        </w:rPr>
        <w:t xml:space="preserve">i no existe consideración al respecto, nos toma la votación Secretario. </w:t>
      </w:r>
    </w:p>
    <w:p w14:paraId="11290528" w14:textId="77777777" w:rsidR="0031052D" w:rsidRPr="00B339E5" w:rsidRDefault="0031052D" w:rsidP="0031052D">
      <w:pPr>
        <w:pStyle w:val="Textosinformato"/>
        <w:rPr>
          <w:szCs w:val="24"/>
        </w:rPr>
      </w:pPr>
    </w:p>
    <w:p w14:paraId="6DB79AE8" w14:textId="77777777" w:rsidR="0031052D" w:rsidRPr="00B339E5" w:rsidRDefault="0031052D" w:rsidP="0031052D">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37BEAC25" w14:textId="77777777" w:rsidR="0031052D" w:rsidRPr="00B339E5" w:rsidRDefault="0031052D" w:rsidP="0031052D">
      <w:pPr>
        <w:pStyle w:val="Textosinformato"/>
        <w:rPr>
          <w:szCs w:val="24"/>
          <w:lang w:val="es-MX"/>
        </w:rPr>
      </w:pPr>
    </w:p>
    <w:p w14:paraId="28DED6A4" w14:textId="77777777" w:rsidR="0031052D" w:rsidRPr="00B339E5" w:rsidRDefault="0031052D" w:rsidP="0031052D">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07DD2B32" w14:textId="77777777" w:rsidR="0031052D" w:rsidRPr="000E05E5" w:rsidRDefault="0031052D" w:rsidP="0031052D">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4ACED9EE" w14:textId="77777777" w:rsidR="0031052D" w:rsidRDefault="0031052D" w:rsidP="0031052D">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7C8B6536" w14:textId="77777777" w:rsidR="0031052D" w:rsidRPr="00B339E5" w:rsidRDefault="0031052D" w:rsidP="0031052D">
      <w:pPr>
        <w:pStyle w:val="Sangradetextonormal"/>
        <w:ind w:left="-142" w:firstLine="0"/>
        <w:jc w:val="both"/>
        <w:rPr>
          <w:rFonts w:ascii="Century Gothic" w:hAnsi="Century Gothic"/>
          <w:b w:val="0"/>
          <w:i/>
          <w:sz w:val="24"/>
          <w:szCs w:val="24"/>
        </w:rPr>
      </w:pPr>
    </w:p>
    <w:p w14:paraId="0AB6BC16" w14:textId="77777777" w:rsidR="0031052D" w:rsidRPr="00B339E5" w:rsidRDefault="0031052D" w:rsidP="0031052D">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1F5A4806" w14:textId="77777777" w:rsidR="0031052D" w:rsidRPr="00B339E5" w:rsidRDefault="0031052D" w:rsidP="0031052D">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1052D" w:rsidRPr="00B339E5" w14:paraId="73525F1F" w14:textId="77777777" w:rsidTr="00C91396">
        <w:tc>
          <w:tcPr>
            <w:tcW w:w="8934" w:type="dxa"/>
            <w:shd w:val="clear" w:color="auto" w:fill="auto"/>
          </w:tcPr>
          <w:p w14:paraId="6589D236" w14:textId="7AACAE46" w:rsidR="0031052D" w:rsidRPr="00FC548A" w:rsidRDefault="0031052D" w:rsidP="00C91396">
            <w:pPr>
              <w:pStyle w:val="Textosinformato"/>
              <w:rPr>
                <w:iCs/>
                <w:szCs w:val="24"/>
                <w:lang w:val="es-MX"/>
              </w:rPr>
            </w:pPr>
            <w:r w:rsidRPr="00B339E5">
              <w:rPr>
                <w:rFonts w:eastAsia="Calibri"/>
                <w:b/>
                <w:szCs w:val="24"/>
              </w:rPr>
              <w:t>ACU/SS/</w:t>
            </w:r>
            <w:r>
              <w:rPr>
                <w:rFonts w:eastAsia="Calibri"/>
                <w:b/>
                <w:szCs w:val="24"/>
              </w:rPr>
              <w:t>03/1</w:t>
            </w:r>
            <w:r w:rsidR="006A50E7">
              <w:rPr>
                <w:rFonts w:eastAsia="Calibri"/>
                <w:b/>
                <w:szCs w:val="24"/>
              </w:rPr>
              <w:t>6</w:t>
            </w:r>
            <w:r>
              <w:rPr>
                <w:rFonts w:eastAsia="Calibri"/>
                <w:b/>
                <w:szCs w:val="24"/>
              </w:rPr>
              <w:t>/E/2025</w:t>
            </w:r>
            <w:r w:rsidRPr="00B339E5">
              <w:rPr>
                <w:rFonts w:eastAsia="Calibri"/>
                <w:b/>
                <w:szCs w:val="24"/>
              </w:rPr>
              <w:t xml:space="preserve">. </w:t>
            </w:r>
            <w:r w:rsidRPr="008001D9">
              <w:rPr>
                <w:iCs/>
                <w:szCs w:val="24"/>
                <w:lang w:val="es-MX"/>
              </w:rPr>
              <w:t xml:space="preserve">Con fundamento en lo dispuesto por el artículo 8 numeral 1 fracción V de la Ley Orgánica del Tribunal de Justicia </w:t>
            </w:r>
            <w:r w:rsidRPr="008001D9">
              <w:rPr>
                <w:iCs/>
                <w:szCs w:val="24"/>
                <w:lang w:val="es-MX"/>
              </w:rPr>
              <w:lastRenderedPageBreak/>
              <w:t xml:space="preserve">Administrativa del Estado de Jalisco, por unanimidad de votos de los Magistrados integrantes de la Sala Superior, determinaron aprobar la licencia </w:t>
            </w:r>
            <w:r>
              <w:rPr>
                <w:iCs/>
                <w:szCs w:val="24"/>
                <w:lang w:val="es-MX"/>
              </w:rPr>
              <w:t>con goce de sueldo</w:t>
            </w:r>
            <w:r w:rsidRPr="008001D9">
              <w:rPr>
                <w:iCs/>
                <w:szCs w:val="24"/>
                <w:lang w:val="es-MX"/>
              </w:rPr>
              <w:t xml:space="preserve"> solicitada por </w:t>
            </w:r>
            <w:r>
              <w:rPr>
                <w:iCs/>
                <w:szCs w:val="24"/>
                <w:lang w:val="es-MX"/>
              </w:rPr>
              <w:t xml:space="preserve">el Magistrado Abel Octavo Salgado Peña, </w:t>
            </w:r>
            <w:r w:rsidRPr="008001D9">
              <w:rPr>
                <w:iCs/>
                <w:szCs w:val="24"/>
                <w:lang w:val="es-MX"/>
              </w:rPr>
              <w:t>para ausentarse de sus labores</w:t>
            </w:r>
            <w:r w:rsidR="006A50E7">
              <w:rPr>
                <w:iCs/>
                <w:szCs w:val="24"/>
                <w:lang w:val="es-MX"/>
              </w:rPr>
              <w:t xml:space="preserve"> el día seis </w:t>
            </w:r>
            <w:r>
              <w:rPr>
                <w:iCs/>
                <w:szCs w:val="24"/>
                <w:lang w:val="es-MX"/>
              </w:rPr>
              <w:t xml:space="preserve">de </w:t>
            </w:r>
            <w:r w:rsidR="006A50E7">
              <w:rPr>
                <w:iCs/>
                <w:szCs w:val="24"/>
                <w:lang w:val="es-MX"/>
              </w:rPr>
              <w:t xml:space="preserve">marzo </w:t>
            </w:r>
            <w:r>
              <w:rPr>
                <w:iCs/>
                <w:szCs w:val="24"/>
                <w:lang w:val="es-MX"/>
              </w:rPr>
              <w:t xml:space="preserve">de </w:t>
            </w:r>
            <w:r w:rsidRPr="008001D9">
              <w:rPr>
                <w:iCs/>
                <w:szCs w:val="24"/>
                <w:lang w:val="es-MX"/>
              </w:rPr>
              <w:t>dos mil veintic</w:t>
            </w:r>
            <w:r>
              <w:rPr>
                <w:iCs/>
                <w:szCs w:val="24"/>
                <w:lang w:val="es-MX"/>
              </w:rPr>
              <w:t>inco</w:t>
            </w:r>
            <w:r w:rsidRPr="008001D9">
              <w:rPr>
                <w:iCs/>
                <w:szCs w:val="24"/>
                <w:lang w:val="es-MX"/>
              </w:rPr>
              <w:t xml:space="preserve">. </w:t>
            </w:r>
            <w:r>
              <w:rPr>
                <w:iCs/>
                <w:szCs w:val="24"/>
                <w:lang w:val="es-MX"/>
              </w:rPr>
              <w:t>Se ordena realizar las comunicaciones correspondientes.</w:t>
            </w:r>
          </w:p>
        </w:tc>
      </w:tr>
    </w:tbl>
    <w:p w14:paraId="34B04F76" w14:textId="38A1FEF8" w:rsidR="0031052D" w:rsidRDefault="0031052D" w:rsidP="002649F6">
      <w:pPr>
        <w:pStyle w:val="Textosinformato"/>
        <w:rPr>
          <w:b/>
          <w:szCs w:val="24"/>
        </w:rPr>
      </w:pPr>
    </w:p>
    <w:p w14:paraId="39BF3F4B" w14:textId="78EBF9DB" w:rsidR="00C75D62" w:rsidRDefault="00C75D62" w:rsidP="002649F6">
      <w:pPr>
        <w:pStyle w:val="Textosinformato"/>
        <w:rPr>
          <w:b/>
          <w:szCs w:val="24"/>
        </w:rPr>
      </w:pPr>
    </w:p>
    <w:p w14:paraId="0FDD500E" w14:textId="40E0EB4D" w:rsidR="00C75D62" w:rsidRDefault="00C75D62" w:rsidP="00C75D62">
      <w:pPr>
        <w:pStyle w:val="Textosinformato"/>
        <w:jc w:val="center"/>
        <w:rPr>
          <w:b/>
          <w:szCs w:val="24"/>
        </w:rPr>
      </w:pPr>
      <w:r>
        <w:rPr>
          <w:b/>
          <w:szCs w:val="24"/>
        </w:rPr>
        <w:t>-5-</w:t>
      </w:r>
    </w:p>
    <w:p w14:paraId="2C6A3D4B" w14:textId="77777777" w:rsidR="00C75D62" w:rsidRDefault="00C75D62"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1B3C98FA"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5A0EA0">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F72363">
        <w:rPr>
          <w:b/>
          <w:szCs w:val="24"/>
        </w:rPr>
        <w:t>cuatro de marzo</w:t>
      </w:r>
      <w:r w:rsidR="00463F05">
        <w:rPr>
          <w:b/>
          <w:szCs w:val="24"/>
        </w:rPr>
        <w:t xml:space="preserve"> 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1FA4BE18"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77777777" w:rsidR="005B0CAE" w:rsidRDefault="005B0CAE"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77777777"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CD08BB8" w14:textId="394A2B68" w:rsidR="005F63EB" w:rsidRDefault="002A5414" w:rsidP="00F72363">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6D70033B" w14:textId="7D38CF16" w:rsidR="00C75D62" w:rsidRPr="00C75D62" w:rsidRDefault="00C75D62" w:rsidP="00C75D62">
      <w:pPr>
        <w:rPr>
          <w:rFonts w:ascii="Century Gothic" w:eastAsia="Times New Roman" w:hAnsi="Century Gothic" w:cs="Times New Roman"/>
          <w:sz w:val="24"/>
          <w:szCs w:val="24"/>
          <w:lang w:val="es-ES" w:eastAsia="es-ES"/>
        </w:rPr>
      </w:pPr>
    </w:p>
    <w:p w14:paraId="076D8B7D" w14:textId="108CDDB4" w:rsidR="00C75D62" w:rsidRPr="00C75D62" w:rsidRDefault="00C75D62" w:rsidP="00C75D62">
      <w:pPr>
        <w:rPr>
          <w:rFonts w:ascii="Century Gothic" w:eastAsia="Times New Roman" w:hAnsi="Century Gothic" w:cs="Times New Roman"/>
          <w:sz w:val="24"/>
          <w:szCs w:val="24"/>
          <w:lang w:val="es-ES" w:eastAsia="es-ES"/>
        </w:rPr>
      </w:pPr>
    </w:p>
    <w:p w14:paraId="07220B13" w14:textId="400F92B9" w:rsidR="00C75D62" w:rsidRPr="00C75D62" w:rsidRDefault="00C75D62" w:rsidP="00C75D62">
      <w:pPr>
        <w:rPr>
          <w:rFonts w:ascii="Century Gothic" w:eastAsia="Times New Roman" w:hAnsi="Century Gothic" w:cs="Times New Roman"/>
          <w:sz w:val="24"/>
          <w:szCs w:val="24"/>
          <w:lang w:val="es-ES" w:eastAsia="es-ES"/>
        </w:rPr>
      </w:pPr>
    </w:p>
    <w:p w14:paraId="307C8D3D" w14:textId="35432252" w:rsidR="00C75D62" w:rsidRPr="00C75D62" w:rsidRDefault="00C75D62" w:rsidP="00C75D62">
      <w:pPr>
        <w:rPr>
          <w:rFonts w:ascii="Century Gothic" w:eastAsia="Times New Roman" w:hAnsi="Century Gothic" w:cs="Times New Roman"/>
          <w:sz w:val="24"/>
          <w:szCs w:val="24"/>
          <w:lang w:val="es-ES" w:eastAsia="es-ES"/>
        </w:rPr>
      </w:pPr>
    </w:p>
    <w:p w14:paraId="6B88705D" w14:textId="77777777" w:rsidR="00C75D62" w:rsidRPr="00C75D62" w:rsidRDefault="00C75D62" w:rsidP="00C75D62">
      <w:pPr>
        <w:jc w:val="center"/>
        <w:rPr>
          <w:rFonts w:ascii="Century Gothic" w:eastAsia="Times New Roman" w:hAnsi="Century Gothic" w:cs="Times New Roman"/>
          <w:sz w:val="24"/>
          <w:szCs w:val="24"/>
          <w:lang w:val="es-ES" w:eastAsia="es-ES"/>
        </w:rPr>
      </w:pPr>
    </w:p>
    <w:sectPr w:rsidR="00C75D62" w:rsidRPr="00C75D62"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E62AD81"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C75D62">
      <w:rPr>
        <w:rStyle w:val="Nmerodepgina"/>
        <w:sz w:val="18"/>
      </w:rPr>
      <w:t>4</w:t>
    </w:r>
  </w:p>
  <w:p w14:paraId="67678C94" w14:textId="78BB2963"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F72363">
      <w:rPr>
        <w:rStyle w:val="Nmerodepgina"/>
        <w:rFonts w:ascii="Century Gothic" w:hAnsi="Century Gothic"/>
        <w:smallCaps/>
      </w:rPr>
      <w:t>SEXTA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31287944" w:rsidR="00A566FC" w:rsidRPr="000715B3" w:rsidRDefault="00F72363" w:rsidP="00975397">
    <w:pPr>
      <w:pStyle w:val="Piedepgina"/>
      <w:jc w:val="right"/>
      <w:rPr>
        <w:rStyle w:val="Nmerodepgina"/>
        <w:rFonts w:ascii="Century Gothic" w:hAnsi="Century Gothic"/>
        <w:smallCaps/>
      </w:rPr>
    </w:pPr>
    <w:r>
      <w:rPr>
        <w:rStyle w:val="Nmerodepgina"/>
        <w:rFonts w:ascii="Century Gothic" w:hAnsi="Century Gothic"/>
        <w:smallCaps/>
      </w:rPr>
      <w:t>CUATRO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1862"/>
    <w:rsid w:val="001123FD"/>
    <w:rsid w:val="00116056"/>
    <w:rsid w:val="00117A07"/>
    <w:rsid w:val="00122263"/>
    <w:rsid w:val="00123407"/>
    <w:rsid w:val="001257C0"/>
    <w:rsid w:val="00127080"/>
    <w:rsid w:val="00127116"/>
    <w:rsid w:val="00130240"/>
    <w:rsid w:val="0014586E"/>
    <w:rsid w:val="00145A71"/>
    <w:rsid w:val="00147322"/>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6EAC"/>
    <w:rsid w:val="00E306E8"/>
    <w:rsid w:val="00E33A31"/>
    <w:rsid w:val="00E41223"/>
    <w:rsid w:val="00E436C0"/>
    <w:rsid w:val="00E44CD9"/>
    <w:rsid w:val="00E45AC0"/>
    <w:rsid w:val="00E46D87"/>
    <w:rsid w:val="00E4765D"/>
    <w:rsid w:val="00E5031D"/>
    <w:rsid w:val="00E5492E"/>
    <w:rsid w:val="00E6097B"/>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1182</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2025-03-05T20:20:00Z</cp:lastPrinted>
  <dcterms:created xsi:type="dcterms:W3CDTF">2025-03-05T19:39:00Z</dcterms:created>
  <dcterms:modified xsi:type="dcterms:W3CDTF">2025-03-05T20:20:00Z</dcterms:modified>
</cp:coreProperties>
</file>