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BB26E5"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2219B2">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BB26E5">
        <w:rPr>
          <w:rFonts w:ascii="Century Gothic" w:eastAsia="Times New Roman" w:hAnsi="Century Gothic" w:cs="Verdana"/>
          <w:b/>
          <w:sz w:val="24"/>
          <w:szCs w:val="24"/>
          <w:lang w:val="es-ES" w:eastAsia="es-ES"/>
        </w:rPr>
        <w:t>veintinueve de mayo</w:t>
      </w:r>
      <w:r w:rsidR="002219B2">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FF1478">
        <w:rPr>
          <w:rFonts w:ascii="Century Gothic" w:eastAsia="Times New Roman" w:hAnsi="Century Gothic" w:cs="Verdana"/>
          <w:b/>
          <w:sz w:val="24"/>
          <w:szCs w:val="24"/>
          <w:lang w:val="es-ES" w:eastAsia="es-ES"/>
        </w:rPr>
        <w:t>Cuadragésim</w:t>
      </w:r>
      <w:bookmarkStart w:id="0" w:name="_GoBack"/>
      <w:bookmarkEnd w:id="0"/>
      <w:r w:rsidR="00FF1478">
        <w:rPr>
          <w:rFonts w:ascii="Century Gothic" w:eastAsia="Times New Roman" w:hAnsi="Century Gothic" w:cs="Verdana"/>
          <w:b/>
          <w:sz w:val="24"/>
          <w:szCs w:val="24"/>
          <w:lang w:val="es-ES" w:eastAsia="es-ES"/>
        </w:rPr>
        <w:t>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5B78B8">
        <w:rPr>
          <w:szCs w:val="24"/>
        </w:rPr>
        <w:t>tiva del Estado de Jalisco,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7091C" w:rsidRPr="0027091C" w:rsidRDefault="007E7D95" w:rsidP="002219B2">
      <w:pPr>
        <w:pStyle w:val="Sangradetextonormal"/>
        <w:numPr>
          <w:ilvl w:val="0"/>
          <w:numId w:val="1"/>
        </w:numPr>
        <w:jc w:val="both"/>
        <w:rPr>
          <w:sz w:val="24"/>
          <w:szCs w:val="24"/>
        </w:rPr>
      </w:pPr>
      <w:r>
        <w:rPr>
          <w:rFonts w:ascii="Century Gothic" w:hAnsi="Century Gothic"/>
          <w:b w:val="0"/>
          <w:sz w:val="24"/>
          <w:szCs w:val="24"/>
        </w:rPr>
        <w:lastRenderedPageBreak/>
        <w:t>Análisis</w:t>
      </w:r>
      <w:r w:rsidR="00A16441">
        <w:rPr>
          <w:rFonts w:ascii="Century Gothic" w:hAnsi="Century Gothic"/>
          <w:b w:val="0"/>
          <w:sz w:val="24"/>
          <w:szCs w:val="24"/>
        </w:rPr>
        <w:t xml:space="preserve">, discusión y </w:t>
      </w:r>
      <w:r>
        <w:rPr>
          <w:rFonts w:ascii="Century Gothic" w:hAnsi="Century Gothic"/>
          <w:b w:val="0"/>
          <w:sz w:val="24"/>
          <w:szCs w:val="24"/>
          <w:lang w:val="es-MX"/>
        </w:rPr>
        <w:t>en su caso aprobación del ejercicio de Facultad de Atracción</w:t>
      </w:r>
      <w:r w:rsidR="002219B2">
        <w:rPr>
          <w:rFonts w:ascii="Century Gothic" w:hAnsi="Century Gothic"/>
          <w:b w:val="0"/>
          <w:sz w:val="24"/>
          <w:szCs w:val="24"/>
        </w:rPr>
        <w:t xml:space="preserve">; </w:t>
      </w:r>
    </w:p>
    <w:p w:rsidR="000E4F79" w:rsidRPr="000E4F79" w:rsidRDefault="0027091C" w:rsidP="002219B2">
      <w:pPr>
        <w:pStyle w:val="Sangradetextonormal"/>
        <w:numPr>
          <w:ilvl w:val="0"/>
          <w:numId w:val="1"/>
        </w:numPr>
        <w:jc w:val="both"/>
        <w:rPr>
          <w:sz w:val="24"/>
          <w:szCs w:val="24"/>
        </w:rPr>
      </w:pPr>
      <w:r>
        <w:rPr>
          <w:rFonts w:ascii="Century Gothic" w:hAnsi="Century Gothic"/>
          <w:b w:val="0"/>
          <w:sz w:val="24"/>
          <w:szCs w:val="24"/>
        </w:rPr>
        <w:t xml:space="preserve">Asuntos Varios; </w:t>
      </w:r>
      <w:r w:rsidR="00EC1B66">
        <w:rPr>
          <w:rFonts w:ascii="Century Gothic" w:hAnsi="Century Gothic"/>
          <w:b w:val="0"/>
          <w:sz w:val="24"/>
          <w:szCs w:val="24"/>
        </w:rPr>
        <w:t>y</w:t>
      </w:r>
      <w:r w:rsidR="002219B2">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rsidR="0019436D" w:rsidRPr="00B339E5" w:rsidRDefault="0019436D" w:rsidP="00376BED">
      <w:pPr>
        <w:pStyle w:val="Textosinformato"/>
        <w:rPr>
          <w:szCs w:val="24"/>
        </w:rPr>
      </w:pPr>
    </w:p>
    <w:p w:rsidR="009167D6" w:rsidRPr="002219B2" w:rsidRDefault="00376BED" w:rsidP="002219B2">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BB26E5">
              <w:rPr>
                <w:rFonts w:eastAsia="Calibri"/>
                <w:b/>
                <w:szCs w:val="24"/>
              </w:rPr>
              <w:t>40</w:t>
            </w:r>
            <w:r w:rsidR="002219B2">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376BED" w:rsidRPr="0019436D" w:rsidRDefault="00376BED" w:rsidP="0019436D">
      <w:pPr>
        <w:pStyle w:val="Textosinformato"/>
        <w:jc w:val="center"/>
        <w:rPr>
          <w:b/>
          <w:szCs w:val="24"/>
        </w:rPr>
      </w:pPr>
      <w:r w:rsidRPr="00B339E5">
        <w:rPr>
          <w:b/>
          <w:szCs w:val="24"/>
        </w:rPr>
        <w:t>- 3 –</w:t>
      </w:r>
    </w:p>
    <w:p w:rsidR="0019436D" w:rsidRPr="00B339E5" w:rsidRDefault="0019436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CF4389">
      <w:pPr>
        <w:pStyle w:val="Sangradetextonormal"/>
        <w:ind w:left="0"/>
        <w:jc w:val="both"/>
        <w:rPr>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7E7D95">
        <w:rPr>
          <w:rFonts w:ascii="Century Gothic" w:hAnsi="Century Gothic"/>
          <w:b w:val="0"/>
          <w:sz w:val="24"/>
          <w:szCs w:val="24"/>
          <w:lang w:val="es-MX"/>
        </w:rPr>
        <w:t>el análisis, discusión y en su caso aprobación del ejercicio de Facultad de Atracción</w:t>
      </w:r>
      <w:r w:rsidR="00CF4389">
        <w:rPr>
          <w:rFonts w:ascii="Century Gothic" w:hAnsi="Century Gothic"/>
          <w:b w:val="0"/>
          <w:sz w:val="24"/>
          <w:szCs w:val="24"/>
          <w:lang w:val="es-MX"/>
        </w:rPr>
        <w:t xml:space="preserve">. </w:t>
      </w:r>
    </w:p>
    <w:p w:rsidR="00761B46" w:rsidRPr="00B339E5" w:rsidRDefault="00761B46" w:rsidP="00761B46">
      <w:pPr>
        <w:pStyle w:val="Textosinformato"/>
        <w:rPr>
          <w:szCs w:val="24"/>
        </w:rPr>
      </w:pPr>
    </w:p>
    <w:p w:rsidR="003C33B2" w:rsidRDefault="003C33B2" w:rsidP="003C33B2">
      <w:pPr>
        <w:pStyle w:val="Textosinformato"/>
        <w:rPr>
          <w:szCs w:val="24"/>
        </w:rPr>
      </w:pPr>
      <w:r>
        <w:rPr>
          <w:b/>
          <w:szCs w:val="24"/>
          <w:lang w:val="es-MX"/>
        </w:rPr>
        <w:t>3</w:t>
      </w:r>
      <w:r>
        <w:rPr>
          <w:b/>
          <w:szCs w:val="24"/>
        </w:rPr>
        <w:t>.1</w:t>
      </w:r>
      <w:r>
        <w:rPr>
          <w:szCs w:val="24"/>
        </w:rPr>
        <w:t xml:space="preserve"> En uso de la voz el </w:t>
      </w:r>
      <w:r w:rsidRPr="00C52E1A">
        <w:rPr>
          <w:b/>
          <w:szCs w:val="24"/>
        </w:rPr>
        <w:t>Secretario General de Acuerdos:</w:t>
      </w:r>
      <w:r>
        <w:rPr>
          <w:szCs w:val="24"/>
        </w:rPr>
        <w:t xml:space="preserve"> Doy cuenta de la revisión de las demandas presentadas en la oficialía de partes común de este Tribunal, en especial II-2194/2023, IV-2194/2023 y VI-2194/2023, del análisis de los escritos de demanda, </w:t>
      </w:r>
      <w:r w:rsidR="00390B09">
        <w:rPr>
          <w:szCs w:val="24"/>
        </w:rPr>
        <w:t xml:space="preserve">en </w:t>
      </w:r>
      <w:r>
        <w:rPr>
          <w:szCs w:val="24"/>
        </w:rPr>
        <w:t>las mencionadas</w:t>
      </w:r>
      <w:r w:rsidR="00390B09">
        <w:rPr>
          <w:szCs w:val="24"/>
        </w:rPr>
        <w:t>,</w:t>
      </w:r>
      <w:r>
        <w:rPr>
          <w:szCs w:val="24"/>
        </w:rPr>
        <w:t xml:space="preserve"> la parte actora </w:t>
      </w:r>
      <w:r w:rsidR="00390B09">
        <w:rPr>
          <w:szCs w:val="24"/>
        </w:rPr>
        <w:t xml:space="preserve">es la empresa Caabsa Eagle Guadalajara, S.A. de C.V., en las que señala como </w:t>
      </w:r>
      <w:r w:rsidR="004039F8">
        <w:rPr>
          <w:szCs w:val="24"/>
        </w:rPr>
        <w:t>acto</w:t>
      </w:r>
      <w:r w:rsidR="00390B09">
        <w:rPr>
          <w:szCs w:val="24"/>
        </w:rPr>
        <w:t xml:space="preserve"> impugnado</w:t>
      </w:r>
      <w:r>
        <w:rPr>
          <w:szCs w:val="24"/>
        </w:rPr>
        <w:t xml:space="preserve"> </w:t>
      </w:r>
      <w:r w:rsidRPr="003C33B2">
        <w:rPr>
          <w:szCs w:val="24"/>
        </w:rPr>
        <w:t>la</w:t>
      </w:r>
      <w:r w:rsidR="005E533C">
        <w:rPr>
          <w:szCs w:val="24"/>
        </w:rPr>
        <w:t xml:space="preserve">s resoluciones </w:t>
      </w:r>
      <w:r w:rsidR="00353C6A">
        <w:rPr>
          <w:szCs w:val="24"/>
        </w:rPr>
        <w:t>que determinan</w:t>
      </w:r>
      <w:r w:rsidR="00390B09">
        <w:rPr>
          <w:szCs w:val="24"/>
        </w:rPr>
        <w:t xml:space="preserve"> los</w:t>
      </w:r>
      <w:r w:rsidRPr="003C33B2">
        <w:rPr>
          <w:szCs w:val="24"/>
        </w:rPr>
        <w:t xml:space="preserve"> crédito</w:t>
      </w:r>
      <w:r>
        <w:rPr>
          <w:szCs w:val="24"/>
        </w:rPr>
        <w:t>s</w:t>
      </w:r>
      <w:r w:rsidRPr="003C33B2">
        <w:rPr>
          <w:szCs w:val="24"/>
        </w:rPr>
        <w:t xml:space="preserve"> fiscal</w:t>
      </w:r>
      <w:r>
        <w:rPr>
          <w:szCs w:val="24"/>
        </w:rPr>
        <w:t>es,</w:t>
      </w:r>
      <w:r w:rsidRPr="003C33B2">
        <w:rPr>
          <w:szCs w:val="24"/>
        </w:rPr>
        <w:t xml:space="preserve"> </w:t>
      </w:r>
      <w:r w:rsidR="00390B09">
        <w:rPr>
          <w:szCs w:val="24"/>
        </w:rPr>
        <w:t xml:space="preserve">con </w:t>
      </w:r>
      <w:r w:rsidR="00390B09" w:rsidRPr="003C33B2">
        <w:rPr>
          <w:szCs w:val="24"/>
        </w:rPr>
        <w:t>número</w:t>
      </w:r>
      <w:r w:rsidR="00390B09">
        <w:rPr>
          <w:szCs w:val="24"/>
        </w:rPr>
        <w:t xml:space="preserve"> </w:t>
      </w:r>
      <w:r w:rsidRPr="003C33B2">
        <w:rPr>
          <w:szCs w:val="24"/>
        </w:rPr>
        <w:lastRenderedPageBreak/>
        <w:t>630/15</w:t>
      </w:r>
      <w:r w:rsidR="00390B09">
        <w:rPr>
          <w:szCs w:val="24"/>
        </w:rPr>
        <w:t xml:space="preserve"> de</w:t>
      </w:r>
      <w:r w:rsidRPr="003C33B2">
        <w:rPr>
          <w:szCs w:val="24"/>
        </w:rPr>
        <w:t xml:space="preserve"> 02 de agosto de 2016 por la cantidad de $40,172.00 pesos</w:t>
      </w:r>
      <w:r>
        <w:rPr>
          <w:szCs w:val="24"/>
        </w:rPr>
        <w:t xml:space="preserve">, </w:t>
      </w:r>
      <w:r w:rsidR="00390B09">
        <w:rPr>
          <w:szCs w:val="24"/>
        </w:rPr>
        <w:t>235/13 de</w:t>
      </w:r>
      <w:r w:rsidRPr="003C33B2">
        <w:rPr>
          <w:szCs w:val="24"/>
        </w:rPr>
        <w:t xml:space="preserve"> 02 de agosto de 2016 por la cantidad de $70,100.00 pesos</w:t>
      </w:r>
      <w:r>
        <w:rPr>
          <w:szCs w:val="24"/>
        </w:rPr>
        <w:t xml:space="preserve"> y </w:t>
      </w:r>
      <w:r w:rsidR="00390B09">
        <w:rPr>
          <w:szCs w:val="24"/>
        </w:rPr>
        <w:t>176/15 de</w:t>
      </w:r>
      <w:r w:rsidRPr="003C33B2">
        <w:rPr>
          <w:szCs w:val="24"/>
        </w:rPr>
        <w:t xml:space="preserve"> 08 de enero de 2016 por la cantidad de $36,520.00 pesos</w:t>
      </w:r>
      <w:r>
        <w:rPr>
          <w:szCs w:val="24"/>
        </w:rPr>
        <w:t xml:space="preserve"> </w:t>
      </w:r>
      <w:r w:rsidR="00390B09">
        <w:rPr>
          <w:szCs w:val="24"/>
        </w:rPr>
        <w:t>respectivamente</w:t>
      </w:r>
      <w:r w:rsidR="005E533C">
        <w:rPr>
          <w:szCs w:val="24"/>
        </w:rPr>
        <w:t xml:space="preserve">, todas emitidas por la </w:t>
      </w:r>
      <w:r w:rsidR="00353C6A">
        <w:rPr>
          <w:szCs w:val="24"/>
        </w:rPr>
        <w:t>Procuraduría</w:t>
      </w:r>
      <w:r w:rsidR="005E533C">
        <w:rPr>
          <w:szCs w:val="24"/>
        </w:rPr>
        <w:t xml:space="preserve"> Estatal de </w:t>
      </w:r>
      <w:r w:rsidR="00353C6A">
        <w:rPr>
          <w:szCs w:val="24"/>
        </w:rPr>
        <w:t>Protección</w:t>
      </w:r>
      <w:r w:rsidR="005E533C">
        <w:rPr>
          <w:szCs w:val="24"/>
        </w:rPr>
        <w:t xml:space="preserve"> al Ambiente dependiente </w:t>
      </w:r>
      <w:r w:rsidR="00353C6A">
        <w:rPr>
          <w:szCs w:val="24"/>
        </w:rPr>
        <w:t>de</w:t>
      </w:r>
      <w:r w:rsidR="005E533C">
        <w:rPr>
          <w:szCs w:val="24"/>
        </w:rPr>
        <w:t xml:space="preserve"> la Secretaria de Medio Ambiente y desarrollo </w:t>
      </w:r>
      <w:r w:rsidR="00353C6A">
        <w:rPr>
          <w:szCs w:val="24"/>
        </w:rPr>
        <w:t xml:space="preserve">Territorial, mediante las cuales se determinó fincar </w:t>
      </w:r>
      <w:r w:rsidR="00562568">
        <w:rPr>
          <w:szCs w:val="24"/>
        </w:rPr>
        <w:t>los diversos créditos fiscales en contra de la empresa actora por el concepto de supuestas violaciones a la Ley Estatal de Equilibrio Ecológico y la Protección al Ambiente</w:t>
      </w:r>
      <w:r>
        <w:rPr>
          <w:szCs w:val="24"/>
        </w:rPr>
        <w:t>.</w:t>
      </w:r>
    </w:p>
    <w:p w:rsidR="003C33B2" w:rsidRDefault="003C33B2" w:rsidP="003C33B2">
      <w:pPr>
        <w:pStyle w:val="Textosinformato"/>
        <w:rPr>
          <w:szCs w:val="24"/>
        </w:rPr>
      </w:pPr>
      <w:r>
        <w:rPr>
          <w:szCs w:val="24"/>
        </w:rPr>
        <w:t xml:space="preserve">  </w:t>
      </w:r>
    </w:p>
    <w:p w:rsidR="003C33B2" w:rsidRDefault="003C33B2" w:rsidP="003C33B2">
      <w:pPr>
        <w:pStyle w:val="Textosinformato"/>
        <w:rPr>
          <w:szCs w:val="24"/>
        </w:rPr>
      </w:pPr>
      <w:r>
        <w:rPr>
          <w:szCs w:val="24"/>
        </w:rPr>
        <w:t xml:space="preserve">En uso de la voz la </w:t>
      </w:r>
      <w:r>
        <w:rPr>
          <w:b/>
          <w:szCs w:val="24"/>
        </w:rPr>
        <w:t>Magistrada Presidenta</w:t>
      </w:r>
      <w:r w:rsidRPr="00567965">
        <w:rPr>
          <w:b/>
          <w:szCs w:val="24"/>
        </w:rPr>
        <w:t>:</w:t>
      </w:r>
      <w:r>
        <w:rPr>
          <w:szCs w:val="24"/>
        </w:rPr>
        <w:t xml:space="preserve"> </w:t>
      </w:r>
      <w:r w:rsidRPr="00B46EB5">
        <w:rPr>
          <w:szCs w:val="24"/>
        </w:rPr>
        <w:t xml:space="preserve">En atención a la </w:t>
      </w:r>
      <w:r>
        <w:rPr>
          <w:szCs w:val="24"/>
        </w:rPr>
        <w:t>cuenta del Secretario General</w:t>
      </w:r>
      <w:r w:rsidRPr="00B46EB5">
        <w:rPr>
          <w:szCs w:val="24"/>
        </w:rPr>
        <w:t xml:space="preserve"> y </w:t>
      </w:r>
      <w:r>
        <w:rPr>
          <w:szCs w:val="24"/>
        </w:rPr>
        <w:t xml:space="preserve">toda vez que </w:t>
      </w:r>
      <w:r w:rsidR="00562568">
        <w:rPr>
          <w:szCs w:val="24"/>
        </w:rPr>
        <w:t>los mencionados asuntos revisten características especiales que son de interés y trascendencia, en tanto que, además de que su materia versa sobra la suspensión de la ejecución de un crédito fiscal relacionado con la imposición de sanciones por la supuesta comisión de infracciones en la operación  del entonces Relleno Sanitario “ Los Laureles”; este permitirá fiar un criterio sobre si al momento de resolver sobre el otorgamiento de la suspensión de la ejecución de un crédito fiscal como medida cautelar, la garantía se trata de un requisito de procedencia o eficacia</w:t>
      </w:r>
      <w:r>
        <w:rPr>
          <w:szCs w:val="24"/>
        </w:rPr>
        <w:t>, en virtud de lo anterior, la propuesta de la Presidencia es ejercer la Facultad de Atracción c</w:t>
      </w:r>
      <w:r w:rsidR="004039F8">
        <w:rPr>
          <w:szCs w:val="24"/>
        </w:rPr>
        <w:t xml:space="preserve">on respecto a los expedientes II-2194/2023, </w:t>
      </w:r>
      <w:r>
        <w:rPr>
          <w:szCs w:val="24"/>
        </w:rPr>
        <w:t>I</w:t>
      </w:r>
      <w:r w:rsidR="004039F8">
        <w:rPr>
          <w:szCs w:val="24"/>
        </w:rPr>
        <w:t>V-2194</w:t>
      </w:r>
      <w:r>
        <w:rPr>
          <w:szCs w:val="24"/>
        </w:rPr>
        <w:t xml:space="preserve">/2023 y </w:t>
      </w:r>
      <w:r w:rsidR="004039F8">
        <w:rPr>
          <w:szCs w:val="24"/>
        </w:rPr>
        <w:t>VI-2194</w:t>
      </w:r>
      <w:r>
        <w:rPr>
          <w:szCs w:val="24"/>
        </w:rPr>
        <w:t xml:space="preserve">/2023, si no existe consideración al respecto, nos toma la votación Secretario. </w:t>
      </w:r>
    </w:p>
    <w:p w:rsidR="003C33B2" w:rsidRDefault="003C33B2" w:rsidP="003C33B2">
      <w:pPr>
        <w:pStyle w:val="Textosinformato"/>
        <w:rPr>
          <w:szCs w:val="24"/>
        </w:rPr>
      </w:pPr>
    </w:p>
    <w:p w:rsidR="003C33B2" w:rsidRPr="007D0626" w:rsidRDefault="003C33B2" w:rsidP="003C33B2">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rsidR="003C33B2" w:rsidRPr="007D0626" w:rsidRDefault="003C33B2" w:rsidP="003C33B2">
      <w:pPr>
        <w:pStyle w:val="Textosinformato"/>
        <w:rPr>
          <w:szCs w:val="24"/>
          <w:lang w:val="es-MX"/>
        </w:rPr>
      </w:pPr>
    </w:p>
    <w:p w:rsidR="003C33B2" w:rsidRPr="00B339E5" w:rsidRDefault="003C33B2" w:rsidP="003C33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3C33B2" w:rsidRPr="00B339E5" w:rsidRDefault="003C33B2" w:rsidP="003C33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C33B2" w:rsidRPr="00B339E5" w:rsidRDefault="003C33B2" w:rsidP="003C33B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C33B2" w:rsidRPr="007D0626" w:rsidRDefault="003C33B2" w:rsidP="003C33B2">
      <w:pPr>
        <w:pStyle w:val="Sangradetextonormal"/>
        <w:ind w:left="0" w:firstLine="0"/>
        <w:jc w:val="both"/>
        <w:rPr>
          <w:rFonts w:ascii="Century Gothic" w:hAnsi="Century Gothic"/>
          <w:b w:val="0"/>
          <w:i/>
          <w:sz w:val="24"/>
          <w:szCs w:val="24"/>
        </w:rPr>
      </w:pPr>
    </w:p>
    <w:p w:rsidR="003C33B2" w:rsidRPr="007D0626" w:rsidRDefault="003C33B2" w:rsidP="003C33B2">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3C33B2" w:rsidRPr="007D0626" w:rsidRDefault="003C33B2" w:rsidP="003C33B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3C33B2" w:rsidRPr="007D0626" w:rsidTr="001C5D58">
        <w:tc>
          <w:tcPr>
            <w:tcW w:w="8934" w:type="dxa"/>
            <w:shd w:val="clear" w:color="auto" w:fill="FFFFFF" w:themeFill="background1"/>
          </w:tcPr>
          <w:p w:rsidR="003C33B2" w:rsidRPr="007D0626" w:rsidRDefault="003C33B2" w:rsidP="001C5D58">
            <w:pPr>
              <w:pStyle w:val="Textosinformato"/>
              <w:rPr>
                <w:rFonts w:eastAsia="Calibri"/>
                <w:szCs w:val="24"/>
              </w:rPr>
            </w:pPr>
            <w:r w:rsidRPr="00B46EB5">
              <w:rPr>
                <w:rFonts w:eastAsia="Calibri"/>
                <w:b/>
                <w:szCs w:val="24"/>
              </w:rPr>
              <w:t>ACU/SS/</w:t>
            </w:r>
            <w:r w:rsidR="004039F8">
              <w:rPr>
                <w:rFonts w:eastAsia="Calibri"/>
                <w:b/>
                <w:szCs w:val="24"/>
              </w:rPr>
              <w:t>02/40</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Nonies de la Ley de Justicia Administrativa del Estado de Jalisco, los Magistrados integrantes de la Sala Superior, determinan ejercer la facultad de atracción para resolver sobre la medida cautelar </w:t>
            </w:r>
            <w:r>
              <w:rPr>
                <w:rFonts w:eastAsia="Calibri"/>
                <w:szCs w:val="24"/>
              </w:rPr>
              <w:t>solicitada en los escritos de demanda de los</w:t>
            </w:r>
            <w:r w:rsidRPr="00B46EB5">
              <w:rPr>
                <w:rFonts w:eastAsia="Calibri"/>
                <w:szCs w:val="24"/>
              </w:rPr>
              <w:t xml:space="preserve"> </w:t>
            </w:r>
            <w:r>
              <w:rPr>
                <w:rFonts w:eastAsia="Calibri"/>
                <w:szCs w:val="24"/>
              </w:rPr>
              <w:t>expedientes</w:t>
            </w:r>
            <w:r w:rsidRPr="00B46EB5">
              <w:rPr>
                <w:rFonts w:eastAsia="Calibri"/>
                <w:szCs w:val="24"/>
              </w:rPr>
              <w:t xml:space="preserve"> </w:t>
            </w:r>
            <w:r w:rsidR="004039F8">
              <w:rPr>
                <w:rFonts w:eastAsia="Calibri"/>
                <w:b/>
                <w:szCs w:val="24"/>
                <w:lang w:val="es-MX"/>
              </w:rPr>
              <w:t>II-2194/2023, IV-2194</w:t>
            </w:r>
            <w:r w:rsidRPr="00EC1B66">
              <w:rPr>
                <w:rFonts w:eastAsia="Calibri"/>
                <w:b/>
                <w:szCs w:val="24"/>
                <w:lang w:val="es-MX"/>
              </w:rPr>
              <w:t xml:space="preserve">/2023 y </w:t>
            </w:r>
            <w:r w:rsidR="004039F8">
              <w:rPr>
                <w:rFonts w:eastAsia="Calibri"/>
                <w:b/>
                <w:szCs w:val="24"/>
                <w:lang w:val="es-MX"/>
              </w:rPr>
              <w:t>VI-2194</w:t>
            </w:r>
            <w:r w:rsidRPr="00EC1B66">
              <w:rPr>
                <w:rFonts w:eastAsia="Calibri"/>
                <w:b/>
                <w:szCs w:val="24"/>
                <w:lang w:val="es-MX"/>
              </w:rPr>
              <w:t>/2023</w:t>
            </w:r>
            <w:r w:rsidRPr="00B46EB5">
              <w:rPr>
                <w:rFonts w:eastAsia="Calibri"/>
                <w:szCs w:val="24"/>
                <w:lang w:val="es-ES_tradnl"/>
              </w:rPr>
              <w:t xml:space="preserve">. Se instruye al Secretario General, para que, </w:t>
            </w:r>
            <w:r>
              <w:rPr>
                <w:rFonts w:eastAsia="Calibri"/>
                <w:szCs w:val="24"/>
                <w:lang w:val="es-ES_tradnl"/>
              </w:rPr>
              <w:t>con las copias certificadas de las demandas y los anexos se formen los</w:t>
            </w:r>
            <w:r w:rsidRPr="00B46EB5">
              <w:rPr>
                <w:rFonts w:eastAsia="Calibri"/>
                <w:szCs w:val="24"/>
                <w:lang w:val="es-ES_tradnl"/>
              </w:rPr>
              <w:t xml:space="preserve"> cuaderno</w:t>
            </w:r>
            <w:r>
              <w:rPr>
                <w:rFonts w:eastAsia="Calibri"/>
                <w:szCs w:val="24"/>
                <w:lang w:val="es-ES_tradnl"/>
              </w:rPr>
              <w:t>s</w:t>
            </w:r>
            <w:r w:rsidRPr="00B46EB5">
              <w:rPr>
                <w:rFonts w:eastAsia="Calibri"/>
                <w:szCs w:val="24"/>
                <w:lang w:val="es-ES_tradnl"/>
              </w:rPr>
              <w:t xml:space="preserve"> incidental</w:t>
            </w:r>
            <w:r>
              <w:rPr>
                <w:rFonts w:eastAsia="Calibri"/>
                <w:szCs w:val="24"/>
                <w:lang w:val="es-ES_tradnl"/>
              </w:rPr>
              <w:t>es</w:t>
            </w:r>
            <w:r w:rsidRPr="00B46EB5">
              <w:rPr>
                <w:rFonts w:eastAsia="Calibri"/>
                <w:szCs w:val="24"/>
                <w:lang w:val="es-ES_tradnl"/>
              </w:rPr>
              <w:t xml:space="preserve"> e informe a</w:t>
            </w:r>
            <w:r>
              <w:rPr>
                <w:rFonts w:eastAsia="Calibri"/>
                <w:szCs w:val="24"/>
                <w:lang w:val="es-ES_tradnl"/>
              </w:rPr>
              <w:t xml:space="preserve"> </w:t>
            </w:r>
            <w:r w:rsidRPr="00B46EB5">
              <w:rPr>
                <w:rFonts w:eastAsia="Calibri"/>
                <w:szCs w:val="24"/>
                <w:lang w:val="es-ES_tradnl"/>
              </w:rPr>
              <w:t>l</w:t>
            </w:r>
            <w:r>
              <w:rPr>
                <w:rFonts w:eastAsia="Calibri"/>
                <w:szCs w:val="24"/>
                <w:lang w:val="es-ES_tradnl"/>
              </w:rPr>
              <w:t>os</w:t>
            </w:r>
            <w:r w:rsidRPr="00B46EB5">
              <w:rPr>
                <w:rFonts w:eastAsia="Calibri"/>
                <w:szCs w:val="24"/>
                <w:lang w:val="es-ES_tradnl"/>
              </w:rPr>
              <w:t xml:space="preserve"> Magistrado</w:t>
            </w:r>
            <w:r>
              <w:rPr>
                <w:rFonts w:eastAsia="Calibri"/>
                <w:szCs w:val="24"/>
                <w:lang w:val="es-ES_tradnl"/>
              </w:rPr>
              <w:t>s</w:t>
            </w:r>
            <w:r w:rsidRPr="00B46EB5">
              <w:rPr>
                <w:rFonts w:eastAsia="Calibri"/>
                <w:szCs w:val="24"/>
                <w:lang w:val="es-ES_tradnl"/>
              </w:rPr>
              <w:t xml:space="preserve"> que conozca</w:t>
            </w:r>
            <w:r>
              <w:rPr>
                <w:rFonts w:eastAsia="Calibri"/>
                <w:szCs w:val="24"/>
                <w:lang w:val="es-ES_tradnl"/>
              </w:rPr>
              <w:t>n</w:t>
            </w:r>
            <w:r w:rsidRPr="00B46EB5">
              <w:rPr>
                <w:rFonts w:eastAsia="Calibri"/>
                <w:szCs w:val="24"/>
                <w:lang w:val="es-ES_tradnl"/>
              </w:rPr>
              <w:t xml:space="preserve"> del juicio en lo principal</w:t>
            </w:r>
            <w:r w:rsidRPr="00B46EB5">
              <w:rPr>
                <w:rFonts w:eastAsia="Calibri"/>
                <w:szCs w:val="24"/>
              </w:rPr>
              <w:t xml:space="preserve"> sobre la facultad de atracción ejercida, para el efecto de que se abstengan de instruir el incidente de suspensión planteado o cualquier otra medida cautelar solicitada en el futuro por las partes, debiendo remitir a la Presidencia de este Tribunal cualquier promoción relacionada con dicho tópico dentro de las veinticuatro horas siguientes de su presentación. Asimismo, se instruye a </w:t>
            </w:r>
            <w:r w:rsidRPr="00B46EB5">
              <w:rPr>
                <w:rFonts w:eastAsia="Calibri"/>
                <w:szCs w:val="24"/>
              </w:rPr>
              <w:lastRenderedPageBreak/>
              <w:t>la Presidencia para que una vez que le sea</w:t>
            </w:r>
            <w:r>
              <w:rPr>
                <w:rFonts w:eastAsia="Calibri"/>
                <w:szCs w:val="24"/>
              </w:rPr>
              <w:t>n</w:t>
            </w:r>
            <w:r w:rsidRPr="00B46EB5">
              <w:rPr>
                <w:rFonts w:eastAsia="Calibri"/>
                <w:szCs w:val="24"/>
              </w:rPr>
              <w:t xml:space="preserve"> turnado</w:t>
            </w:r>
            <w:r>
              <w:rPr>
                <w:rFonts w:eastAsia="Calibri"/>
                <w:szCs w:val="24"/>
              </w:rPr>
              <w:t>s los</w:t>
            </w:r>
            <w:r w:rsidRPr="00B46EB5">
              <w:rPr>
                <w:rFonts w:eastAsia="Calibri"/>
                <w:szCs w:val="24"/>
              </w:rPr>
              <w:t xml:space="preserve"> cuaderno</w:t>
            </w:r>
            <w:r>
              <w:rPr>
                <w:rFonts w:eastAsia="Calibri"/>
                <w:szCs w:val="24"/>
              </w:rPr>
              <w:t>s</w:t>
            </w:r>
            <w:r w:rsidRPr="00B46EB5">
              <w:rPr>
                <w:rFonts w:eastAsia="Calibri"/>
                <w:szCs w:val="24"/>
              </w:rPr>
              <w:t xml:space="preserve"> incidental</w:t>
            </w:r>
            <w:r>
              <w:rPr>
                <w:rFonts w:eastAsia="Calibri"/>
                <w:szCs w:val="24"/>
              </w:rPr>
              <w:t>es</w:t>
            </w:r>
            <w:r w:rsidRPr="00B46EB5">
              <w:rPr>
                <w:rFonts w:eastAsia="Calibri"/>
                <w:szCs w:val="24"/>
              </w:rPr>
              <w:t xml:space="preserve">, </w:t>
            </w:r>
            <w:r w:rsidRPr="00890B2D">
              <w:rPr>
                <w:rFonts w:eastAsia="Calibri"/>
                <w:szCs w:val="24"/>
              </w:rPr>
              <w:t>resuelva sobre la suspensión provisional, y en su momento, dicte t</w:t>
            </w:r>
            <w:r>
              <w:rPr>
                <w:rFonts w:eastAsia="Calibri"/>
                <w:szCs w:val="24"/>
              </w:rPr>
              <w:t>odos los acuerdos hasta ponerlos</w:t>
            </w:r>
            <w:r w:rsidRPr="00890B2D">
              <w:rPr>
                <w:rFonts w:eastAsia="Calibri"/>
                <w:szCs w:val="24"/>
              </w:rPr>
              <w:t xml:space="preserve"> en estado de resolución y en general, dicte todos los </w:t>
            </w:r>
            <w:r>
              <w:rPr>
                <w:rFonts w:eastAsia="Calibri"/>
                <w:szCs w:val="24"/>
              </w:rPr>
              <w:t>acuerdos relacionados con dichos incidentes</w:t>
            </w:r>
            <w:r w:rsidRPr="00B46EB5">
              <w:rPr>
                <w:rFonts w:eastAsia="Calibri"/>
                <w:szCs w:val="24"/>
              </w:rPr>
              <w:t>.</w:t>
            </w:r>
            <w:r w:rsidRPr="007D0626">
              <w:rPr>
                <w:rFonts w:eastAsia="Calibri"/>
                <w:szCs w:val="24"/>
              </w:rPr>
              <w:t xml:space="preserve">  </w:t>
            </w:r>
          </w:p>
        </w:tc>
      </w:tr>
    </w:tbl>
    <w:p w:rsidR="00540F7B" w:rsidRPr="003C33B2" w:rsidRDefault="00540F7B" w:rsidP="000A399A">
      <w:pPr>
        <w:pStyle w:val="Textosinformato"/>
        <w:rPr>
          <w:b/>
          <w:szCs w:val="24"/>
          <w:lang w:val="es-MX"/>
        </w:rPr>
      </w:pPr>
    </w:p>
    <w:p w:rsidR="00540F7B" w:rsidRPr="00B339E5" w:rsidRDefault="00540F7B" w:rsidP="00540F7B">
      <w:pPr>
        <w:pStyle w:val="Textosinformato"/>
        <w:jc w:val="center"/>
        <w:rPr>
          <w:b/>
          <w:szCs w:val="24"/>
        </w:rPr>
      </w:pPr>
      <w:r>
        <w:rPr>
          <w:b/>
          <w:szCs w:val="24"/>
        </w:rPr>
        <w:t>- 4</w:t>
      </w:r>
      <w:r w:rsidRPr="00B339E5">
        <w:rPr>
          <w:b/>
          <w:szCs w:val="24"/>
        </w:rPr>
        <w:t xml:space="preserve"> -</w:t>
      </w:r>
    </w:p>
    <w:p w:rsidR="00540F7B" w:rsidRPr="00B339E5" w:rsidRDefault="00540F7B" w:rsidP="00540F7B">
      <w:pPr>
        <w:pStyle w:val="Sangradetextonormal"/>
        <w:ind w:left="0" w:firstLine="0"/>
        <w:jc w:val="both"/>
        <w:rPr>
          <w:b w:val="0"/>
          <w:szCs w:val="24"/>
        </w:rPr>
      </w:pPr>
    </w:p>
    <w:p w:rsidR="00540F7B" w:rsidRPr="00B339E5" w:rsidRDefault="00540F7B" w:rsidP="00540F7B">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540F7B" w:rsidRPr="00B339E5" w:rsidRDefault="00540F7B" w:rsidP="00540F7B">
      <w:pPr>
        <w:pStyle w:val="Sangradetextonormal"/>
        <w:ind w:left="0"/>
        <w:jc w:val="both"/>
        <w:rPr>
          <w:rFonts w:ascii="Century Gothic" w:hAnsi="Century Gothic"/>
          <w:b w:val="0"/>
          <w:sz w:val="24"/>
          <w:szCs w:val="24"/>
          <w:lang w:val="es-MX"/>
        </w:rPr>
      </w:pPr>
    </w:p>
    <w:p w:rsidR="00540F7B" w:rsidRDefault="00540F7B" w:rsidP="00540F7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cuatro del orden día corresponde a los Asuntos Varios.</w:t>
      </w:r>
    </w:p>
    <w:p w:rsidR="00540F7B" w:rsidRPr="00B339E5" w:rsidRDefault="00540F7B" w:rsidP="00540F7B">
      <w:pPr>
        <w:pStyle w:val="Textosinformato"/>
        <w:rPr>
          <w:szCs w:val="24"/>
        </w:rPr>
      </w:pPr>
    </w:p>
    <w:p w:rsidR="00540F7B" w:rsidRDefault="00540F7B" w:rsidP="00540F7B">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4</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bCs/>
          <w:sz w:val="24"/>
          <w:szCs w:val="24"/>
          <w:lang w:eastAsia="es-ES"/>
        </w:rPr>
        <w:t xml:space="preserve">Doy cuenta de los oficios que remite el Magistrado Armando García Estrada,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w:t>
      </w:r>
      <w:r w:rsidR="00E73E52">
        <w:rPr>
          <w:rFonts w:ascii="Century Gothic" w:eastAsia="Times New Roman" w:hAnsi="Century Gothic" w:cs="Times New Roman"/>
          <w:bCs/>
          <w:sz w:val="24"/>
          <w:szCs w:val="24"/>
          <w:lang w:eastAsia="es-ES"/>
        </w:rPr>
        <w:t>a Sala Unitaria, mediante los</w:t>
      </w:r>
      <w:r w:rsidR="00D15E87">
        <w:rPr>
          <w:rFonts w:ascii="Century Gothic" w:eastAsia="Times New Roman" w:hAnsi="Century Gothic" w:cs="Times New Roman"/>
          <w:bCs/>
          <w:sz w:val="24"/>
          <w:szCs w:val="24"/>
          <w:lang w:eastAsia="es-ES"/>
        </w:rPr>
        <w:t xml:space="preserve"> cuá</w:t>
      </w:r>
      <w:r w:rsidR="00D15E87" w:rsidRPr="004E4538">
        <w:rPr>
          <w:rFonts w:ascii="Century Gothic" w:eastAsia="Times New Roman" w:hAnsi="Century Gothic" w:cs="Times New Roman"/>
          <w:bCs/>
          <w:sz w:val="24"/>
          <w:szCs w:val="24"/>
          <w:lang w:eastAsia="es-ES"/>
        </w:rPr>
        <w:t>l</w:t>
      </w:r>
      <w:r w:rsidR="00E73E52">
        <w:rPr>
          <w:rFonts w:ascii="Century Gothic" w:eastAsia="Times New Roman" w:hAnsi="Century Gothic" w:cs="Times New Roman"/>
          <w:bCs/>
          <w:sz w:val="24"/>
          <w:szCs w:val="24"/>
          <w:lang w:eastAsia="es-ES"/>
        </w:rPr>
        <w:t>es</w:t>
      </w:r>
      <w:r w:rsidRPr="004E4538">
        <w:rPr>
          <w:rFonts w:ascii="Century Gothic" w:eastAsia="Times New Roman" w:hAnsi="Century Gothic" w:cs="Times New Roman"/>
          <w:bCs/>
          <w:sz w:val="24"/>
          <w:szCs w:val="24"/>
          <w:lang w:eastAsia="es-ES"/>
        </w:rPr>
        <w:t xml:space="preserve"> soli</w:t>
      </w:r>
      <w:r>
        <w:rPr>
          <w:rFonts w:ascii="Century Gothic" w:eastAsia="Times New Roman" w:hAnsi="Century Gothic" w:cs="Times New Roman"/>
          <w:bCs/>
          <w:sz w:val="24"/>
          <w:szCs w:val="24"/>
          <w:lang w:eastAsia="es-ES"/>
        </w:rPr>
        <w:t>cita se le excuse de conocer de dos</w:t>
      </w:r>
      <w:r w:rsidRPr="004E4538">
        <w:rPr>
          <w:rFonts w:ascii="Century Gothic" w:eastAsia="Times New Roman" w:hAnsi="Century Gothic" w:cs="Times New Roman"/>
          <w:bCs/>
          <w:sz w:val="24"/>
          <w:szCs w:val="24"/>
          <w:lang w:eastAsia="es-ES"/>
        </w:rPr>
        <w:t xml:space="preserve"> juicios administrativos 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eastAsia="Times New Roman" w:hAnsi="Century Gothic" w:cs="Times New Roman"/>
          <w:bCs/>
          <w:sz w:val="24"/>
          <w:szCs w:val="24"/>
          <w:lang w:eastAsia="es-ES"/>
        </w:rPr>
        <w:t xml:space="preserve"> y que son los siguientes:</w:t>
      </w:r>
    </w:p>
    <w:p w:rsidR="00540F7B" w:rsidRDefault="00540F7B" w:rsidP="00540F7B">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jc w:val="center"/>
        <w:tblLook w:val="04A0" w:firstRow="1" w:lastRow="0" w:firstColumn="1" w:lastColumn="0" w:noHBand="0" w:noVBand="1"/>
      </w:tblPr>
      <w:tblGrid>
        <w:gridCol w:w="1813"/>
        <w:gridCol w:w="1813"/>
      </w:tblGrid>
      <w:tr w:rsidR="00540F7B" w:rsidRPr="00864B46" w:rsidTr="00730DC4">
        <w:trPr>
          <w:jc w:val="center"/>
        </w:trPr>
        <w:tc>
          <w:tcPr>
            <w:tcW w:w="1813" w:type="dxa"/>
            <w:vAlign w:val="bottom"/>
          </w:tcPr>
          <w:p w:rsidR="00540F7B" w:rsidRPr="00864B46" w:rsidRDefault="00E73E52" w:rsidP="00730DC4">
            <w:pPr>
              <w:rPr>
                <w:rFonts w:ascii="Calibri" w:hAnsi="Calibri"/>
                <w:color w:val="000000"/>
                <w:sz w:val="24"/>
                <w:szCs w:val="24"/>
              </w:rPr>
            </w:pPr>
            <w:r>
              <w:rPr>
                <w:rFonts w:ascii="Calibri" w:hAnsi="Calibri"/>
                <w:color w:val="000000"/>
                <w:sz w:val="24"/>
                <w:szCs w:val="24"/>
              </w:rPr>
              <w:t>IV-1757/2020</w:t>
            </w:r>
          </w:p>
        </w:tc>
        <w:tc>
          <w:tcPr>
            <w:tcW w:w="1813" w:type="dxa"/>
            <w:vAlign w:val="bottom"/>
          </w:tcPr>
          <w:p w:rsidR="00540F7B" w:rsidRPr="00864B46" w:rsidRDefault="00E73E52" w:rsidP="00730DC4">
            <w:pPr>
              <w:rPr>
                <w:rFonts w:ascii="Calibri" w:hAnsi="Calibri"/>
                <w:color w:val="000000"/>
                <w:sz w:val="24"/>
                <w:szCs w:val="24"/>
              </w:rPr>
            </w:pPr>
            <w:r>
              <w:rPr>
                <w:rFonts w:ascii="Calibri" w:hAnsi="Calibri"/>
                <w:color w:val="000000"/>
                <w:sz w:val="24"/>
                <w:szCs w:val="24"/>
              </w:rPr>
              <w:t>IV-3861</w:t>
            </w:r>
            <w:r w:rsidR="00540F7B" w:rsidRPr="00864B46">
              <w:rPr>
                <w:rFonts w:ascii="Calibri" w:hAnsi="Calibri"/>
                <w:color w:val="000000"/>
                <w:sz w:val="24"/>
                <w:szCs w:val="24"/>
              </w:rPr>
              <w:t>/2022</w:t>
            </w:r>
          </w:p>
        </w:tc>
      </w:tr>
    </w:tbl>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p>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 xml:space="preserve">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eastAsia="es-ES"/>
        </w:rPr>
      </w:pP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p>
    <w:p w:rsidR="00540F7B"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40F7B" w:rsidRPr="00BF39B6"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F7B" w:rsidRPr="004E4538" w:rsidTr="00730DC4">
        <w:trPr>
          <w:trHeight w:val="3159"/>
        </w:trPr>
        <w:tc>
          <w:tcPr>
            <w:tcW w:w="8939" w:type="dxa"/>
            <w:shd w:val="clear" w:color="auto" w:fill="auto"/>
          </w:tcPr>
          <w:p w:rsidR="00540F7B" w:rsidRPr="004E4538" w:rsidRDefault="00540F7B" w:rsidP="00730DC4">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lastRenderedPageBreak/>
              <w:t>ACU/SS/</w:t>
            </w:r>
            <w:r w:rsidR="00E73E52">
              <w:rPr>
                <w:rFonts w:ascii="Century Gothic" w:eastAsia="Calibri" w:hAnsi="Century Gothic" w:cs="Verdana"/>
                <w:b/>
                <w:sz w:val="24"/>
                <w:szCs w:val="24"/>
              </w:rPr>
              <w:t>03/40</w:t>
            </w:r>
            <w:r>
              <w:rPr>
                <w:rFonts w:ascii="Century Gothic" w:eastAsia="Calibri" w:hAnsi="Century Gothic" w:cs="Verdana"/>
                <w:b/>
                <w:sz w:val="24"/>
                <w:szCs w:val="24"/>
              </w:rPr>
              <w:t>/E/2023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este Tribunal, califican de legales las excusas presentadas por el Magistrado Armando García </w:t>
            </w:r>
            <w:r>
              <w:rPr>
                <w:rFonts w:ascii="Century Gothic" w:eastAsia="Calibri" w:hAnsi="Century Gothic" w:cs="Arial"/>
                <w:sz w:val="24"/>
                <w:szCs w:val="24"/>
              </w:rPr>
              <w:t>Estrada, para conocer de los dos</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0A399A" w:rsidRDefault="000A399A" w:rsidP="00281703">
      <w:pPr>
        <w:pStyle w:val="Textosinformato"/>
        <w:rPr>
          <w:szCs w:val="24"/>
          <w:lang w:val="es-MX"/>
        </w:rPr>
      </w:pPr>
    </w:p>
    <w:p w:rsidR="00761B46" w:rsidRPr="00B339E5" w:rsidRDefault="00540F7B" w:rsidP="00761B46">
      <w:pPr>
        <w:pStyle w:val="Textosinformato"/>
        <w:jc w:val="center"/>
        <w:rPr>
          <w:b/>
          <w:szCs w:val="24"/>
        </w:rPr>
      </w:pPr>
      <w:r>
        <w:rPr>
          <w:b/>
          <w:szCs w:val="24"/>
        </w:rPr>
        <w:t>- 5</w:t>
      </w:r>
      <w:r w:rsidR="00761B46" w:rsidRPr="00B339E5">
        <w:rPr>
          <w:b/>
          <w:szCs w:val="24"/>
        </w:rPr>
        <w:t>-</w:t>
      </w:r>
    </w:p>
    <w:p w:rsidR="009167D6" w:rsidRPr="00B339E5" w:rsidRDefault="009167D6"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684592">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E73E52">
        <w:rPr>
          <w:b/>
          <w:szCs w:val="24"/>
        </w:rPr>
        <w:t>veintinueve de mayo</w:t>
      </w:r>
      <w:r w:rsidR="00567965">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67965">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5E89">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F1478">
      <w:rPr>
        <w:rStyle w:val="Nmerodepgina"/>
        <w:noProof/>
      </w:rPr>
      <w:t>2</w:t>
    </w:r>
    <w:r>
      <w:rPr>
        <w:rStyle w:val="Nmerodepgina"/>
      </w:rPr>
      <w:fldChar w:fldCharType="end"/>
    </w:r>
    <w:r w:rsidR="00EC1B66">
      <w:rPr>
        <w:rStyle w:val="Nmerodepgina"/>
        <w:sz w:val="18"/>
      </w:rPr>
      <w:t>/5</w:t>
    </w:r>
  </w:p>
  <w:p w:rsidR="007B768C" w:rsidRPr="0052553A" w:rsidRDefault="00E73E52" w:rsidP="001A3344">
    <w:pPr>
      <w:pStyle w:val="Piedepgina"/>
      <w:jc w:val="right"/>
      <w:rPr>
        <w:rStyle w:val="Nmerodepgina"/>
        <w:rFonts w:ascii="Century Gothic" w:hAnsi="Century Gothic"/>
        <w:smallCaps/>
      </w:rPr>
    </w:pPr>
    <w:r>
      <w:rPr>
        <w:rStyle w:val="Nmerodepgina"/>
        <w:rFonts w:ascii="Century Gothic" w:hAnsi="Century Gothic"/>
        <w:smallCaps/>
      </w:rPr>
      <w:t>CUADRAGÉSIMA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E73E52" w:rsidP="00975397">
    <w:pPr>
      <w:pStyle w:val="Piedepgina"/>
      <w:jc w:val="right"/>
      <w:rPr>
        <w:rStyle w:val="Nmerodepgina"/>
        <w:rFonts w:ascii="Century Gothic" w:hAnsi="Century Gothic"/>
        <w:smallCaps/>
      </w:rPr>
    </w:pPr>
    <w:r>
      <w:rPr>
        <w:rStyle w:val="Nmerodepgina"/>
        <w:rFonts w:ascii="Century Gothic" w:hAnsi="Century Gothic"/>
        <w:smallCaps/>
      </w:rPr>
      <w:t>VEINTINUEVE DE MAYO</w:t>
    </w:r>
    <w:r w:rsidR="00D91D8E">
      <w:rPr>
        <w:rStyle w:val="Nmerodepgina"/>
        <w:rFonts w:ascii="Century Gothic" w:hAnsi="Century Gothic"/>
        <w:smallCaps/>
      </w:rPr>
      <w:t xml:space="preserve"> DE DOS MIL VEINTITRÉS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80A5A"/>
    <w:rsid w:val="000907A4"/>
    <w:rsid w:val="00096208"/>
    <w:rsid w:val="000A116C"/>
    <w:rsid w:val="000A399A"/>
    <w:rsid w:val="000B344D"/>
    <w:rsid w:val="000B3B1A"/>
    <w:rsid w:val="000B5991"/>
    <w:rsid w:val="000C07C3"/>
    <w:rsid w:val="000E4F79"/>
    <w:rsid w:val="000F2910"/>
    <w:rsid w:val="00101CD2"/>
    <w:rsid w:val="00102B0E"/>
    <w:rsid w:val="0010367F"/>
    <w:rsid w:val="00105C4C"/>
    <w:rsid w:val="00106E55"/>
    <w:rsid w:val="001123FD"/>
    <w:rsid w:val="0011667C"/>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E7D28"/>
    <w:rsid w:val="002219B2"/>
    <w:rsid w:val="002228CE"/>
    <w:rsid w:val="00223159"/>
    <w:rsid w:val="0022743C"/>
    <w:rsid w:val="002413E1"/>
    <w:rsid w:val="002511E0"/>
    <w:rsid w:val="00262E80"/>
    <w:rsid w:val="00262FE5"/>
    <w:rsid w:val="0027091C"/>
    <w:rsid w:val="00281703"/>
    <w:rsid w:val="00283650"/>
    <w:rsid w:val="00291321"/>
    <w:rsid w:val="002B12D3"/>
    <w:rsid w:val="002C2C7E"/>
    <w:rsid w:val="002C2FFC"/>
    <w:rsid w:val="002C7E50"/>
    <w:rsid w:val="002D02A5"/>
    <w:rsid w:val="002E41FD"/>
    <w:rsid w:val="002E5DE8"/>
    <w:rsid w:val="002E5E22"/>
    <w:rsid w:val="002F2B41"/>
    <w:rsid w:val="002F474D"/>
    <w:rsid w:val="002F79C6"/>
    <w:rsid w:val="00301859"/>
    <w:rsid w:val="003041CF"/>
    <w:rsid w:val="003178B5"/>
    <w:rsid w:val="003263ED"/>
    <w:rsid w:val="00326BCA"/>
    <w:rsid w:val="003279E4"/>
    <w:rsid w:val="00342C3F"/>
    <w:rsid w:val="00344D19"/>
    <w:rsid w:val="00344E99"/>
    <w:rsid w:val="003534E2"/>
    <w:rsid w:val="0035395F"/>
    <w:rsid w:val="00353C6A"/>
    <w:rsid w:val="00376BED"/>
    <w:rsid w:val="00384412"/>
    <w:rsid w:val="00390B09"/>
    <w:rsid w:val="0039715C"/>
    <w:rsid w:val="003B076D"/>
    <w:rsid w:val="003C29CA"/>
    <w:rsid w:val="003C33B2"/>
    <w:rsid w:val="003D2976"/>
    <w:rsid w:val="003E2A15"/>
    <w:rsid w:val="003F3758"/>
    <w:rsid w:val="00400981"/>
    <w:rsid w:val="0040102F"/>
    <w:rsid w:val="004039F8"/>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36CAE"/>
    <w:rsid w:val="00540F7B"/>
    <w:rsid w:val="005464A9"/>
    <w:rsid w:val="00551E07"/>
    <w:rsid w:val="00562568"/>
    <w:rsid w:val="00567965"/>
    <w:rsid w:val="005940FC"/>
    <w:rsid w:val="005B1176"/>
    <w:rsid w:val="005B78B8"/>
    <w:rsid w:val="005C2DC2"/>
    <w:rsid w:val="005C32B4"/>
    <w:rsid w:val="005D07BC"/>
    <w:rsid w:val="005E39C4"/>
    <w:rsid w:val="005E533C"/>
    <w:rsid w:val="005E758C"/>
    <w:rsid w:val="005F0A44"/>
    <w:rsid w:val="005F12F1"/>
    <w:rsid w:val="005F4020"/>
    <w:rsid w:val="00602514"/>
    <w:rsid w:val="00604D9C"/>
    <w:rsid w:val="00613317"/>
    <w:rsid w:val="0061581D"/>
    <w:rsid w:val="00617CE8"/>
    <w:rsid w:val="00640847"/>
    <w:rsid w:val="0064510F"/>
    <w:rsid w:val="00652733"/>
    <w:rsid w:val="0065310D"/>
    <w:rsid w:val="00653671"/>
    <w:rsid w:val="00656766"/>
    <w:rsid w:val="00656FC8"/>
    <w:rsid w:val="00665C11"/>
    <w:rsid w:val="00670FA0"/>
    <w:rsid w:val="00684592"/>
    <w:rsid w:val="0069226C"/>
    <w:rsid w:val="00692C6F"/>
    <w:rsid w:val="00694FE4"/>
    <w:rsid w:val="006B115D"/>
    <w:rsid w:val="006D288B"/>
    <w:rsid w:val="006D471F"/>
    <w:rsid w:val="006D5232"/>
    <w:rsid w:val="006E2893"/>
    <w:rsid w:val="006E77D8"/>
    <w:rsid w:val="006F3FCD"/>
    <w:rsid w:val="00700F66"/>
    <w:rsid w:val="00707A4B"/>
    <w:rsid w:val="007105E1"/>
    <w:rsid w:val="007139DF"/>
    <w:rsid w:val="00720DF4"/>
    <w:rsid w:val="007538E8"/>
    <w:rsid w:val="00761B46"/>
    <w:rsid w:val="00762A6F"/>
    <w:rsid w:val="00765FF2"/>
    <w:rsid w:val="00775C06"/>
    <w:rsid w:val="00777F54"/>
    <w:rsid w:val="0079425E"/>
    <w:rsid w:val="007B768C"/>
    <w:rsid w:val="007C3FB4"/>
    <w:rsid w:val="007D2C81"/>
    <w:rsid w:val="007E329A"/>
    <w:rsid w:val="007E3B50"/>
    <w:rsid w:val="007E7D95"/>
    <w:rsid w:val="007F2DED"/>
    <w:rsid w:val="007F3043"/>
    <w:rsid w:val="007F4EEB"/>
    <w:rsid w:val="00805F91"/>
    <w:rsid w:val="00817F18"/>
    <w:rsid w:val="008302F9"/>
    <w:rsid w:val="0084241A"/>
    <w:rsid w:val="0084543D"/>
    <w:rsid w:val="0084757B"/>
    <w:rsid w:val="00866499"/>
    <w:rsid w:val="00867953"/>
    <w:rsid w:val="00870384"/>
    <w:rsid w:val="00870B38"/>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2ADD"/>
    <w:rsid w:val="00953A52"/>
    <w:rsid w:val="00974B6C"/>
    <w:rsid w:val="00975397"/>
    <w:rsid w:val="00981913"/>
    <w:rsid w:val="009A3C52"/>
    <w:rsid w:val="009A679A"/>
    <w:rsid w:val="009B47B5"/>
    <w:rsid w:val="009C5D24"/>
    <w:rsid w:val="009C6CBB"/>
    <w:rsid w:val="009E4477"/>
    <w:rsid w:val="009F1E46"/>
    <w:rsid w:val="009F3DC7"/>
    <w:rsid w:val="009F43F8"/>
    <w:rsid w:val="00A00B56"/>
    <w:rsid w:val="00A0250B"/>
    <w:rsid w:val="00A0277B"/>
    <w:rsid w:val="00A04A85"/>
    <w:rsid w:val="00A078FD"/>
    <w:rsid w:val="00A14FC5"/>
    <w:rsid w:val="00A16441"/>
    <w:rsid w:val="00A16681"/>
    <w:rsid w:val="00A212FB"/>
    <w:rsid w:val="00A27CAC"/>
    <w:rsid w:val="00A37B69"/>
    <w:rsid w:val="00A40843"/>
    <w:rsid w:val="00A51584"/>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AF7D68"/>
    <w:rsid w:val="00B045BE"/>
    <w:rsid w:val="00B13937"/>
    <w:rsid w:val="00B13FFB"/>
    <w:rsid w:val="00B1463A"/>
    <w:rsid w:val="00B1616A"/>
    <w:rsid w:val="00B1684D"/>
    <w:rsid w:val="00B23258"/>
    <w:rsid w:val="00B27AE2"/>
    <w:rsid w:val="00B339E5"/>
    <w:rsid w:val="00B34241"/>
    <w:rsid w:val="00B345D3"/>
    <w:rsid w:val="00B46EB5"/>
    <w:rsid w:val="00B51001"/>
    <w:rsid w:val="00B56DF4"/>
    <w:rsid w:val="00B60237"/>
    <w:rsid w:val="00B62214"/>
    <w:rsid w:val="00B644B4"/>
    <w:rsid w:val="00B70DEF"/>
    <w:rsid w:val="00B8359C"/>
    <w:rsid w:val="00B84F92"/>
    <w:rsid w:val="00B86CA6"/>
    <w:rsid w:val="00B86D32"/>
    <w:rsid w:val="00B87450"/>
    <w:rsid w:val="00B94038"/>
    <w:rsid w:val="00B958D6"/>
    <w:rsid w:val="00B97D82"/>
    <w:rsid w:val="00BA16C6"/>
    <w:rsid w:val="00BA4298"/>
    <w:rsid w:val="00BB02F4"/>
    <w:rsid w:val="00BB26E5"/>
    <w:rsid w:val="00BC36AD"/>
    <w:rsid w:val="00BD587D"/>
    <w:rsid w:val="00BF39B6"/>
    <w:rsid w:val="00C03B0F"/>
    <w:rsid w:val="00C070FF"/>
    <w:rsid w:val="00C14F63"/>
    <w:rsid w:val="00C17B86"/>
    <w:rsid w:val="00C20291"/>
    <w:rsid w:val="00C20501"/>
    <w:rsid w:val="00C24590"/>
    <w:rsid w:val="00C36AB9"/>
    <w:rsid w:val="00C40EE6"/>
    <w:rsid w:val="00C73E60"/>
    <w:rsid w:val="00C82AB5"/>
    <w:rsid w:val="00C85E89"/>
    <w:rsid w:val="00C90903"/>
    <w:rsid w:val="00C94685"/>
    <w:rsid w:val="00CA64AB"/>
    <w:rsid w:val="00CB0B24"/>
    <w:rsid w:val="00CC29B0"/>
    <w:rsid w:val="00CC5026"/>
    <w:rsid w:val="00CC6159"/>
    <w:rsid w:val="00CC62FF"/>
    <w:rsid w:val="00CC7E95"/>
    <w:rsid w:val="00CD16DF"/>
    <w:rsid w:val="00CD3C05"/>
    <w:rsid w:val="00CD7A2E"/>
    <w:rsid w:val="00CE09AC"/>
    <w:rsid w:val="00CE6E9D"/>
    <w:rsid w:val="00CF4389"/>
    <w:rsid w:val="00D0010A"/>
    <w:rsid w:val="00D0122D"/>
    <w:rsid w:val="00D01A8A"/>
    <w:rsid w:val="00D15E87"/>
    <w:rsid w:val="00D2281B"/>
    <w:rsid w:val="00D4531F"/>
    <w:rsid w:val="00D53897"/>
    <w:rsid w:val="00D63AC3"/>
    <w:rsid w:val="00D652F2"/>
    <w:rsid w:val="00D83F69"/>
    <w:rsid w:val="00D90553"/>
    <w:rsid w:val="00D91D8E"/>
    <w:rsid w:val="00DA3D55"/>
    <w:rsid w:val="00DB2EA2"/>
    <w:rsid w:val="00DB34FB"/>
    <w:rsid w:val="00DD19BE"/>
    <w:rsid w:val="00DE29CD"/>
    <w:rsid w:val="00DE32EB"/>
    <w:rsid w:val="00DE51D8"/>
    <w:rsid w:val="00DF164B"/>
    <w:rsid w:val="00DF2E8A"/>
    <w:rsid w:val="00DF3777"/>
    <w:rsid w:val="00DF4D0C"/>
    <w:rsid w:val="00DF77BB"/>
    <w:rsid w:val="00E1365A"/>
    <w:rsid w:val="00E306E8"/>
    <w:rsid w:val="00E41223"/>
    <w:rsid w:val="00E6097B"/>
    <w:rsid w:val="00E614DF"/>
    <w:rsid w:val="00E73E52"/>
    <w:rsid w:val="00E82D97"/>
    <w:rsid w:val="00E8568E"/>
    <w:rsid w:val="00E928C0"/>
    <w:rsid w:val="00E95249"/>
    <w:rsid w:val="00EB5241"/>
    <w:rsid w:val="00EC1B66"/>
    <w:rsid w:val="00ED0DFC"/>
    <w:rsid w:val="00ED7D1D"/>
    <w:rsid w:val="00EE5FE6"/>
    <w:rsid w:val="00F00CFE"/>
    <w:rsid w:val="00F14457"/>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 w:val="00FF1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6F6C-4C45-4E4D-AE4C-446D0AE0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1724</Words>
  <Characters>9487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9</cp:revision>
  <cp:lastPrinted>2023-08-08T20:16:00Z</cp:lastPrinted>
  <dcterms:created xsi:type="dcterms:W3CDTF">2023-07-05T16:00:00Z</dcterms:created>
  <dcterms:modified xsi:type="dcterms:W3CDTF">2023-08-08T20:17:00Z</dcterms:modified>
</cp:coreProperties>
</file>