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9D68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6305696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3A568B0E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25215D9F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C1165D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27BE097" w14:textId="7F1008A9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685377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85377">
        <w:rPr>
          <w:rFonts w:ascii="Century Gothic" w:eastAsia="Calibri" w:hAnsi="Century Gothic" w:cs="Times New Roman"/>
          <w:b/>
          <w:sz w:val="24"/>
          <w:szCs w:val="24"/>
        </w:rPr>
        <w:t>veintiséis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3563B648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4D54AF30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44D1A5C5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290806A9" w14:textId="77777777" w:rsidR="00766ED7" w:rsidRDefault="00766ED7" w:rsidP="00766ED7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33F448E1" w14:textId="77777777" w:rsidR="00766ED7" w:rsidRDefault="00766ED7" w:rsidP="00766ED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3D9C9E27" w14:textId="77777777" w:rsidR="00766ED7" w:rsidRDefault="00766ED7" w:rsidP="00766ED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bookmarkStart w:id="2" w:name="_Hlk158109856"/>
      <w:r>
        <w:rPr>
          <w:rFonts w:ascii="Century Gothic" w:hAnsi="Century Gothic"/>
          <w:b w:val="0"/>
          <w:sz w:val="24"/>
          <w:szCs w:val="24"/>
        </w:rPr>
        <w:t>del oficio sin número y del oficio 30/2024-C, que remiten los Secretarios del Primer</w:t>
      </w:r>
      <w:bookmarkStart w:id="3" w:name="_Hlk155790492"/>
      <w:r>
        <w:rPr>
          <w:rFonts w:ascii="Century Gothic" w:hAnsi="Century Gothic"/>
          <w:b w:val="0"/>
          <w:sz w:val="24"/>
          <w:szCs w:val="24"/>
        </w:rPr>
        <w:t xml:space="preserve"> y Segundo Tribunal Colegiado en Materia Administrativa del Tercer Circuito</w:t>
      </w:r>
      <w:bookmarkEnd w:id="3"/>
      <w:r>
        <w:rPr>
          <w:rFonts w:ascii="Century Gothic" w:hAnsi="Century Gothic"/>
          <w:b w:val="0"/>
          <w:sz w:val="24"/>
          <w:szCs w:val="24"/>
        </w:rPr>
        <w:t>, relativos a los Juicios de Amparo número 292/2023 y 349/2023, mediante los cuales requieren a este Tribunal por el cumplimiento de la ejecutoria de los juicios de amparo referido</w:t>
      </w:r>
      <w:bookmarkEnd w:id="1"/>
      <w:r>
        <w:rPr>
          <w:rFonts w:ascii="Century Gothic" w:hAnsi="Century Gothic"/>
          <w:b w:val="0"/>
          <w:sz w:val="24"/>
          <w:szCs w:val="24"/>
        </w:rPr>
        <w:t>s</w:t>
      </w:r>
      <w:bookmarkEnd w:id="2"/>
      <w:r>
        <w:rPr>
          <w:rFonts w:ascii="Century Gothic" w:hAnsi="Century Gothic"/>
          <w:b w:val="0"/>
          <w:sz w:val="24"/>
          <w:szCs w:val="24"/>
        </w:rPr>
        <w:t>;</w:t>
      </w:r>
    </w:p>
    <w:p w14:paraId="3C6C23C5" w14:textId="77777777" w:rsidR="00766ED7" w:rsidRDefault="00766ED7" w:rsidP="00766ED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4" w:name="_Hlk152056507"/>
      <w:r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Recurso de Reclamación 1072/2023 en cumplimiento al Juicio de Amparo 292/2023 del </w:t>
      </w:r>
      <w:bookmarkEnd w:id="4"/>
      <w:r>
        <w:rPr>
          <w:rFonts w:ascii="Century Gothic" w:hAnsi="Century Gothic"/>
          <w:b w:val="0"/>
          <w:sz w:val="24"/>
          <w:szCs w:val="24"/>
        </w:rPr>
        <w:t xml:space="preserve">Segundo Tribunal Colegiado en Materia Administrativa del Tercer Circuito; </w:t>
      </w:r>
    </w:p>
    <w:p w14:paraId="1BA52219" w14:textId="77777777" w:rsidR="00766ED7" w:rsidRDefault="00766ED7" w:rsidP="00766ED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5" w:name="_Hlk158109954"/>
      <w:r>
        <w:rPr>
          <w:rFonts w:ascii="Century Gothic" w:hAnsi="Century Gothic"/>
          <w:b w:val="0"/>
          <w:sz w:val="24"/>
          <w:szCs w:val="24"/>
        </w:rPr>
        <w:t>discusión y en su caso aprobación del proyecto de sentencia del Recurso de Apelación 1356/2023 en cumplimiento al Juicio de Amparo 349/2023 del Primer Tribunal Colegiado en Materia Administrativa del Tercer Circuito</w:t>
      </w:r>
      <w:bookmarkEnd w:id="5"/>
      <w:r>
        <w:rPr>
          <w:rFonts w:ascii="Century Gothic" w:hAnsi="Century Gothic"/>
          <w:b w:val="0"/>
          <w:sz w:val="24"/>
          <w:szCs w:val="24"/>
        </w:rPr>
        <w:t>; y</w:t>
      </w:r>
    </w:p>
    <w:p w14:paraId="66DBC361" w14:textId="2919D148" w:rsidR="00E457E5" w:rsidRPr="000E35D7" w:rsidRDefault="00766ED7" w:rsidP="00766E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bookmarkEnd w:id="0"/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17E33CA1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03999E8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3763FADC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19BA4E3" w14:textId="6C72BFD8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045C59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D225D8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1B115F93" w14:textId="7777777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048C4C58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15597974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95146F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63DB022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79AB89C" w14:textId="77777777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46305696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4B4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7BF5F61A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747F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4ECBFD0F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02B808E3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6939972C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7B6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3AE7B1" wp14:editId="66D75BEC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F1191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7597980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7597980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AE7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130F1191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7597980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75979800"/>
                  </w:p>
                </w:txbxContent>
              </v:textbox>
            </v:shape>
          </w:pict>
        </mc:Fallback>
      </mc:AlternateContent>
    </w:r>
  </w:p>
  <w:p w14:paraId="5DBF9D50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B02EAFE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EB3F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0DB0E06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72B1" w14:textId="77777777" w:rsidR="00534227" w:rsidRDefault="001113EF" w:rsidP="006E56D6">
    <w:pPr>
      <w:pStyle w:val="Encabezado"/>
      <w:ind w:left="-567"/>
    </w:pPr>
    <w:permStart w:id="139842345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3AB711F" wp14:editId="431F8DE6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98423454"/>
  </w:p>
  <w:p w14:paraId="45EDE749" w14:textId="77777777" w:rsidR="006E56D6" w:rsidRDefault="006E56D6" w:rsidP="006E56D6">
    <w:pPr>
      <w:pStyle w:val="Encabezado"/>
      <w:ind w:left="-567"/>
      <w:jc w:val="center"/>
    </w:pPr>
  </w:p>
  <w:p w14:paraId="52CEC671" w14:textId="77777777" w:rsidR="00BF1011" w:rsidRDefault="00BF1011" w:rsidP="006E56D6">
    <w:pPr>
      <w:pStyle w:val="Encabezado"/>
      <w:ind w:left="-567"/>
      <w:jc w:val="center"/>
    </w:pPr>
  </w:p>
  <w:p w14:paraId="619FBE9B" w14:textId="77777777" w:rsidR="00BF1011" w:rsidRDefault="00BF1011" w:rsidP="006E56D6">
    <w:pPr>
      <w:pStyle w:val="Encabezado"/>
      <w:ind w:left="-567"/>
      <w:jc w:val="center"/>
    </w:pPr>
  </w:p>
  <w:p w14:paraId="48602D2E" w14:textId="77777777" w:rsidR="00BF1011" w:rsidRDefault="00BF1011" w:rsidP="006E56D6">
    <w:pPr>
      <w:pStyle w:val="Encabezado"/>
      <w:ind w:left="-567"/>
      <w:jc w:val="center"/>
    </w:pPr>
  </w:p>
  <w:p w14:paraId="2CB214A1" w14:textId="77777777" w:rsidR="00BF1011" w:rsidRDefault="00BF1011" w:rsidP="006E56D6">
    <w:pPr>
      <w:pStyle w:val="Encabezado"/>
      <w:ind w:left="-567"/>
      <w:jc w:val="center"/>
    </w:pPr>
  </w:p>
  <w:p w14:paraId="46CE32F0" w14:textId="77777777" w:rsidR="00BF1011" w:rsidRDefault="00BF1011" w:rsidP="006E56D6">
    <w:pPr>
      <w:pStyle w:val="Encabezado"/>
      <w:ind w:left="-567"/>
      <w:jc w:val="center"/>
    </w:pPr>
  </w:p>
  <w:p w14:paraId="6F8501D8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FE5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C939004" wp14:editId="3408ACAA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D4CCF9" wp14:editId="3DC856C8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E58C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9658640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48D0C7A6" w14:textId="77777777" w:rsidR="006E56D6" w:rsidRDefault="006E56D6" w:rsidP="006E56D6">
                          <w:r>
                            <w:br/>
                          </w:r>
                          <w:permEnd w:id="3965864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CC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6EEE58C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9658640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48D0C7A6" w14:textId="77777777" w:rsidR="006E56D6" w:rsidRDefault="006E56D6" w:rsidP="006E56D6">
                    <w:r>
                      <w:br/>
                    </w:r>
                    <w:permEnd w:id="39658640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B606D4" wp14:editId="6730DA7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3759D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50498215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049821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606D4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5893759D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50498215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0498215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45C59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45D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36C4"/>
    <w:rsid w:val="005C7239"/>
    <w:rsid w:val="005D67EC"/>
    <w:rsid w:val="005E0286"/>
    <w:rsid w:val="006061FC"/>
    <w:rsid w:val="00610306"/>
    <w:rsid w:val="0064587C"/>
    <w:rsid w:val="006822B8"/>
    <w:rsid w:val="00685377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66ED7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225D8"/>
    <w:rsid w:val="00D535DB"/>
    <w:rsid w:val="00D56C22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8A1D6E6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6EC2-886C-45B7-87E8-FDD4EBB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1511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7</cp:revision>
  <cp:lastPrinted>2022-04-25T22:40:00Z</cp:lastPrinted>
  <dcterms:created xsi:type="dcterms:W3CDTF">2024-01-26T18:42:00Z</dcterms:created>
  <dcterms:modified xsi:type="dcterms:W3CDTF">2024-02-06T17:09:00Z</dcterms:modified>
</cp:coreProperties>
</file>