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35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60DE89BB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 xml:space="preserve">Décima </w:t>
      </w:r>
      <w:r w:rsidR="00D878F6">
        <w:rPr>
          <w:rFonts w:ascii="Century Gothic" w:eastAsia="Calibri" w:hAnsi="Century Gothic" w:cs="Times New Roman"/>
          <w:b/>
          <w:sz w:val="24"/>
          <w:szCs w:val="24"/>
        </w:rPr>
        <w:t>Sexta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878F6">
        <w:rPr>
          <w:rFonts w:ascii="Century Gothic" w:eastAsia="Calibri" w:hAnsi="Century Gothic" w:cs="Times New Roman"/>
          <w:b/>
          <w:sz w:val="24"/>
          <w:szCs w:val="24"/>
        </w:rPr>
        <w:t>dieciseis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14A188D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29C86A2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5F559DF5" w14:textId="574B6ED7" w:rsidR="00D878F6" w:rsidRDefault="00D878F6" w:rsidP="00D878F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0" w:name="_Hlk153442742"/>
      <w:r w:rsidRPr="00F34677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l oficio 1293/2024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la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</w:t>
      </w:r>
      <w:proofErr w:type="gramStart"/>
      <w:r w:rsidRPr="002073E0">
        <w:rPr>
          <w:rFonts w:ascii="Century Gothic" w:hAnsi="Century Gothic"/>
          <w:b w:val="0"/>
          <w:sz w:val="24"/>
          <w:szCs w:val="24"/>
          <w:highlight w:val="yellow"/>
        </w:rPr>
        <w:t>Secretaria</w:t>
      </w:r>
      <w:proofErr w:type="gramEnd"/>
      <w:r>
        <w:rPr>
          <w:rFonts w:ascii="Century Gothic" w:hAnsi="Century Gothic"/>
          <w:b w:val="0"/>
          <w:sz w:val="24"/>
          <w:szCs w:val="24"/>
          <w:highlight w:val="yellow"/>
        </w:rPr>
        <w:t xml:space="preserve"> de Acuerdos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</w:t>
      </w:r>
      <w:r>
        <w:rPr>
          <w:rFonts w:ascii="Century Gothic" w:hAnsi="Century Gothic"/>
          <w:b w:val="0"/>
          <w:sz w:val="24"/>
          <w:szCs w:val="24"/>
        </w:rPr>
        <w:t>l Cuarto Tribunal Colegiado en Materia Administrativa del Tercer Circuito, relativo a el Juicio de Amparo número 13/2022</w:t>
      </w:r>
      <w:r w:rsidRPr="00993705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l </w:t>
      </w:r>
      <w:r w:rsidRPr="00993705">
        <w:rPr>
          <w:rFonts w:ascii="Century Gothic" w:hAnsi="Century Gothic"/>
          <w:b w:val="0"/>
          <w:sz w:val="24"/>
          <w:szCs w:val="24"/>
        </w:rPr>
        <w:t>juicio de amparo referido</w:t>
      </w:r>
      <w:bookmarkEnd w:id="0"/>
      <w:r w:rsidRPr="00993705">
        <w:rPr>
          <w:rFonts w:ascii="Century Gothic" w:hAnsi="Century Gothic"/>
          <w:b w:val="0"/>
          <w:sz w:val="24"/>
          <w:szCs w:val="24"/>
        </w:rPr>
        <w:t>;</w:t>
      </w:r>
    </w:p>
    <w:p w14:paraId="5344AED2" w14:textId="7B11F7B7" w:rsidR="00936408" w:rsidRPr="00D878F6" w:rsidRDefault="00D878F6" w:rsidP="00D878F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bookmarkStart w:id="1" w:name="_Hlk158972198"/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2" w:name="_Hlk152056507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Juicio de Responsabilidad Patrimonial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38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18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</w:rPr>
        <w:t>13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2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del </w:t>
      </w:r>
      <w:bookmarkEnd w:id="2"/>
      <w:r>
        <w:rPr>
          <w:rFonts w:ascii="Century Gothic" w:hAnsi="Century Gothic"/>
          <w:b w:val="0"/>
          <w:sz w:val="24"/>
          <w:szCs w:val="24"/>
        </w:rPr>
        <w:t>Cuarto Tribunal Colegiado en Materia Administrativa del Tercer Circuito</w:t>
      </w:r>
      <w:bookmarkStart w:id="3" w:name="_Hlk158972237"/>
      <w:bookmarkEnd w:id="1"/>
      <w:r w:rsidR="00F72203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  <w:bookmarkEnd w:id="3"/>
    </w:p>
    <w:p w14:paraId="0CF38B2B" w14:textId="2FF7F0BE" w:rsidR="00E457E5" w:rsidRPr="000E35D7" w:rsidRDefault="000D43F6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99370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762E966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44C1C6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0F26453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F72203">
        <w:rPr>
          <w:rFonts w:ascii="Century Gothic" w:eastAsia="Calibri" w:hAnsi="Century Gothic" w:cs="Times New Roman"/>
          <w:b/>
          <w:sz w:val="24"/>
          <w:szCs w:val="24"/>
        </w:rPr>
        <w:t>QUINCE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66DB9"/>
    <w:rsid w:val="00071806"/>
    <w:rsid w:val="00076C55"/>
    <w:rsid w:val="000D1708"/>
    <w:rsid w:val="000D43F6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A04FE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961AC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878F6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2203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6BB2-E877-4ADB-A2D5-32568ACA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4</cp:revision>
  <cp:lastPrinted>2022-04-25T22:40:00Z</cp:lastPrinted>
  <dcterms:created xsi:type="dcterms:W3CDTF">2024-02-16T18:38:00Z</dcterms:created>
  <dcterms:modified xsi:type="dcterms:W3CDTF">2024-02-27T19:43:00Z</dcterms:modified>
</cp:coreProperties>
</file>