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17433AFE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AE2AB5">
        <w:rPr>
          <w:rFonts w:ascii="Century Gothic" w:hAnsi="Century Gothic"/>
          <w:b/>
          <w:sz w:val="24"/>
          <w:szCs w:val="24"/>
        </w:rPr>
        <w:t>Décima</w:t>
      </w:r>
      <w:r w:rsidR="00573542">
        <w:rPr>
          <w:rFonts w:ascii="Century Gothic" w:hAnsi="Century Gothic"/>
          <w:b/>
          <w:sz w:val="24"/>
          <w:szCs w:val="24"/>
        </w:rPr>
        <w:t xml:space="preserve"> </w:t>
      </w:r>
      <w:r w:rsidR="00745866">
        <w:rPr>
          <w:rFonts w:ascii="Century Gothic" w:hAnsi="Century Gothic"/>
          <w:b/>
          <w:sz w:val="24"/>
          <w:szCs w:val="24"/>
        </w:rPr>
        <w:t>Sexta</w:t>
      </w:r>
      <w:r w:rsidR="002D742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>
        <w:rPr>
          <w:rFonts w:ascii="Century Gothic" w:hAnsi="Century Gothic"/>
          <w:b/>
          <w:sz w:val="24"/>
          <w:szCs w:val="24"/>
        </w:rPr>
        <w:t xml:space="preserve">catorce </w:t>
      </w:r>
      <w:r>
        <w:rPr>
          <w:rFonts w:ascii="Century Gothic" w:hAnsi="Century Gothic"/>
          <w:b/>
          <w:sz w:val="24"/>
          <w:szCs w:val="24"/>
        </w:rPr>
        <w:t>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del</w:t>
      </w:r>
      <w:r w:rsidR="00AF2B85">
        <w:rPr>
          <w:rFonts w:ascii="Century Gothic" w:hAnsi="Century Gothic"/>
          <w:b/>
          <w:sz w:val="24"/>
          <w:szCs w:val="24"/>
        </w:rPr>
        <w:t xml:space="preserve"> </w:t>
      </w:r>
      <w:r w:rsidR="00745866">
        <w:rPr>
          <w:rFonts w:ascii="Century Gothic" w:hAnsi="Century Gothic"/>
          <w:b/>
          <w:sz w:val="24"/>
          <w:szCs w:val="24"/>
        </w:rPr>
        <w:t>dieciocho</w:t>
      </w:r>
      <w:r w:rsidR="002D742C">
        <w:rPr>
          <w:rFonts w:ascii="Century Gothic" w:hAnsi="Century Gothic"/>
          <w:b/>
          <w:sz w:val="24"/>
          <w:szCs w:val="24"/>
        </w:rPr>
        <w:t xml:space="preserve">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>
        <w:rPr>
          <w:rFonts w:ascii="Century Gothic" w:hAnsi="Century Gothic"/>
          <w:sz w:val="24"/>
          <w:szCs w:val="24"/>
          <w:lang w:val="es-ES"/>
        </w:rPr>
        <w:t>número</w:t>
      </w:r>
      <w:r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2E4D8709" w14:textId="77777777" w:rsidR="00745866" w:rsidRPr="003646D3" w:rsidRDefault="00745866" w:rsidP="00745866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6F422B26" w14:textId="77777777" w:rsidR="00745866" w:rsidRPr="003646D3" w:rsidRDefault="00745866" w:rsidP="00745866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587E4A90" w14:textId="77777777" w:rsidR="00745866" w:rsidRPr="003646D3" w:rsidRDefault="00745866" w:rsidP="00745866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Recepción del oficio </w:t>
      </w:r>
      <w:r>
        <w:rPr>
          <w:rFonts w:ascii="Century Gothic" w:hAnsi="Century Gothic"/>
          <w:b w:val="0"/>
          <w:sz w:val="24"/>
          <w:szCs w:val="24"/>
          <w:lang w:val="es-MX"/>
        </w:rPr>
        <w:t>3356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/2026, que remite el </w:t>
      </w:r>
      <w:proofErr w:type="gramStart"/>
      <w:r w:rsidRPr="003646D3">
        <w:rPr>
          <w:rFonts w:ascii="Century Gothic" w:hAnsi="Century Gothic"/>
          <w:b w:val="0"/>
          <w:sz w:val="24"/>
          <w:szCs w:val="24"/>
          <w:lang w:val="es-MX"/>
        </w:rPr>
        <w:t>Secretario</w:t>
      </w:r>
      <w:proofErr w:type="gramEnd"/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 de Acuerdos del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Segundo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relativo al juicio de amparo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83/2025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, mediante el cual requieren a este Tribunal por el cumplimiento de la ejecutoria del juicio de amparo referido;</w:t>
      </w:r>
    </w:p>
    <w:p w14:paraId="7FFF5697" w14:textId="77777777" w:rsidR="00745866" w:rsidRPr="003646D3" w:rsidRDefault="00745866" w:rsidP="00745866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1275822"/>
      <w:r w:rsidRPr="003646D3">
        <w:rPr>
          <w:rFonts w:ascii="Century Gothic" w:hAnsi="Century Gothic" w:cs="Arial"/>
          <w:b w:val="0"/>
          <w:sz w:val="24"/>
          <w:szCs w:val="24"/>
        </w:rPr>
        <w:t>A</w:t>
      </w:r>
      <w:bookmarkEnd w:id="0"/>
      <w:proofErr w:type="spellStart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Pr="003646D3">
        <w:rPr>
          <w:rFonts w:ascii="Century Gothic" w:hAnsi="Century Gothic" w:cs="Arial"/>
          <w:b w:val="0"/>
          <w:sz w:val="24"/>
          <w:szCs w:val="24"/>
          <w:lang w:val="es-MX"/>
        </w:rPr>
        <w:t xml:space="preserve">, </w:t>
      </w:r>
      <w:bookmarkStart w:id="1" w:name="_Hlk222391520"/>
      <w:r w:rsidRPr="003646D3">
        <w:rPr>
          <w:rFonts w:ascii="Century Gothic" w:hAnsi="Century Gothic"/>
          <w:b w:val="0"/>
          <w:sz w:val="24"/>
          <w:szCs w:val="24"/>
        </w:rPr>
        <w:t>discusión y en su caso aprobación del proyecto de sentencia del expediente Recurso de</w:t>
      </w:r>
      <w:r>
        <w:rPr>
          <w:rFonts w:ascii="Century Gothic" w:hAnsi="Century Gothic"/>
          <w:b w:val="0"/>
          <w:sz w:val="24"/>
          <w:szCs w:val="24"/>
        </w:rPr>
        <w:t xml:space="preserve"> Apelación 1742/2024</w:t>
      </w:r>
      <w:r w:rsidRPr="003646D3">
        <w:rPr>
          <w:rFonts w:ascii="Century Gothic" w:hAnsi="Century Gothic"/>
          <w:b w:val="0"/>
          <w:sz w:val="24"/>
          <w:szCs w:val="24"/>
        </w:rPr>
        <w:t>, en cumplimiento a la ejecutoria del juicio de amparo</w:t>
      </w:r>
      <w:bookmarkEnd w:id="1"/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 xml:space="preserve">83/2025 </w:t>
      </w:r>
      <w:r w:rsidRPr="003646D3">
        <w:rPr>
          <w:rFonts w:ascii="Century Gothic" w:hAnsi="Century Gothic"/>
          <w:b w:val="0"/>
          <w:sz w:val="24"/>
          <w:szCs w:val="24"/>
        </w:rPr>
        <w:t xml:space="preserve">del </w:t>
      </w:r>
      <w:r>
        <w:rPr>
          <w:rFonts w:ascii="Century Gothic" w:hAnsi="Century Gothic"/>
          <w:b w:val="0"/>
          <w:sz w:val="24"/>
          <w:szCs w:val="24"/>
        </w:rPr>
        <w:t>Segundo</w:t>
      </w:r>
      <w:r w:rsidRPr="003646D3">
        <w:rPr>
          <w:rFonts w:ascii="Century Gothic" w:hAnsi="Century Gothic"/>
          <w:b w:val="0"/>
          <w:sz w:val="24"/>
          <w:szCs w:val="24"/>
        </w:rPr>
        <w:t xml:space="preserve">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 xml:space="preserve">Tribunal Colegiado en Materia Administrativa </w:t>
      </w:r>
      <w:r>
        <w:rPr>
          <w:rFonts w:ascii="Century Gothic" w:hAnsi="Century Gothic"/>
          <w:b w:val="0"/>
          <w:sz w:val="24"/>
          <w:szCs w:val="24"/>
          <w:lang w:val="es-MX"/>
        </w:rPr>
        <w:t>del Tercer Circuito</w:t>
      </w:r>
      <w:r w:rsidRPr="003646D3">
        <w:rPr>
          <w:rFonts w:ascii="Century Gothic" w:hAnsi="Century Gothic"/>
          <w:b w:val="0"/>
          <w:sz w:val="24"/>
          <w:szCs w:val="24"/>
        </w:rPr>
        <w:t xml:space="preserve">; </w:t>
      </w:r>
      <w:r w:rsidRPr="003646D3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5FCE85C9" w14:textId="01A9EEB9" w:rsidR="00183A40" w:rsidRPr="003646D3" w:rsidRDefault="00745866" w:rsidP="00745866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3646D3">
        <w:rPr>
          <w:rFonts w:ascii="Century Gothic" w:hAnsi="Century Gothic"/>
          <w:b w:val="0"/>
          <w:sz w:val="24"/>
          <w:szCs w:val="24"/>
        </w:rPr>
        <w:t>Clausura</w:t>
      </w:r>
      <w:r w:rsidR="00183A40" w:rsidRPr="003646D3">
        <w:rPr>
          <w:rFonts w:ascii="Century Gothic" w:hAnsi="Century Gothic"/>
          <w:b w:val="0"/>
          <w:sz w:val="24"/>
          <w:szCs w:val="24"/>
        </w:rPr>
        <w:t>.</w:t>
      </w:r>
    </w:p>
    <w:p w14:paraId="10EF54CD" w14:textId="77777777" w:rsidR="00183A40" w:rsidRPr="003646D3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3B0EBF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0A1155E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183A40">
        <w:rPr>
          <w:rFonts w:ascii="Century Gothic" w:hAnsi="Century Gothic"/>
          <w:b/>
          <w:sz w:val="24"/>
          <w:szCs w:val="24"/>
        </w:rPr>
        <w:t>D</w:t>
      </w:r>
      <w:r w:rsidR="00745866">
        <w:rPr>
          <w:rFonts w:ascii="Century Gothic" w:hAnsi="Century Gothic"/>
          <w:b/>
          <w:sz w:val="24"/>
          <w:szCs w:val="24"/>
        </w:rPr>
        <w:t>IECISIETE</w:t>
      </w:r>
      <w:r w:rsidR="00183A40">
        <w:rPr>
          <w:rFonts w:ascii="Century Gothic" w:hAnsi="Century Gothic"/>
          <w:b/>
          <w:sz w:val="24"/>
          <w:szCs w:val="24"/>
        </w:rPr>
        <w:t xml:space="preserve"> </w:t>
      </w:r>
      <w:r w:rsidR="009A43EA">
        <w:rPr>
          <w:rFonts w:ascii="Century Gothic" w:hAnsi="Century Gothic"/>
          <w:b/>
          <w:sz w:val="24"/>
          <w:szCs w:val="24"/>
        </w:rPr>
        <w:t xml:space="preserve">DE MARZO </w:t>
      </w:r>
      <w:r w:rsidR="00EC6BAB">
        <w:rPr>
          <w:rFonts w:ascii="Century Gothic" w:hAnsi="Century Gothic"/>
          <w:b/>
          <w:sz w:val="24"/>
          <w:szCs w:val="24"/>
        </w:rPr>
        <w:t>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F610F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JUSTICIA ADMINISTRATIVA DEL ESTADO</w:t>
      </w:r>
      <w:r w:rsidR="00077EBE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2026-03-24T18:18:00Z</dcterms:created>
  <dcterms:modified xsi:type="dcterms:W3CDTF">2026-03-24T18:18:00Z</dcterms:modified>
</cp:coreProperties>
</file>