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E04D00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E04D00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E04D00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E04D00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E04D00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E04D00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75447527" w:rsidR="000F63FB" w:rsidRPr="00E04D00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>Conforme al artículo 2</w:t>
      </w:r>
      <w:r w:rsidR="007D75B2" w:rsidRPr="00E04D00">
        <w:rPr>
          <w:rFonts w:ascii="Century Gothic" w:hAnsi="Century Gothic"/>
          <w:sz w:val="24"/>
          <w:szCs w:val="24"/>
        </w:rPr>
        <w:t>8</w:t>
      </w:r>
      <w:r w:rsidRPr="00E04D00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CE0362">
        <w:rPr>
          <w:rFonts w:ascii="Century Gothic" w:hAnsi="Century Gothic"/>
          <w:b/>
          <w:sz w:val="24"/>
          <w:szCs w:val="24"/>
        </w:rPr>
        <w:t>Vigésima</w:t>
      </w:r>
      <w:r w:rsidR="002D742C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190EEB">
        <w:rPr>
          <w:rFonts w:ascii="Century Gothic" w:hAnsi="Century Gothic"/>
          <w:b/>
          <w:sz w:val="24"/>
          <w:szCs w:val="24"/>
        </w:rPr>
        <w:t>Sexta</w:t>
      </w:r>
      <w:r w:rsidR="00BC187B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 xml:space="preserve">Sesión </w:t>
      </w:r>
      <w:r w:rsidR="001C2079" w:rsidRPr="00E04D00">
        <w:rPr>
          <w:rFonts w:ascii="Century Gothic" w:hAnsi="Century Gothic"/>
          <w:b/>
          <w:sz w:val="24"/>
          <w:szCs w:val="24"/>
        </w:rPr>
        <w:t>Extraordinaria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3044B5" w:rsidRPr="00E04D00">
        <w:rPr>
          <w:rFonts w:ascii="Century Gothic" w:hAnsi="Century Gothic"/>
          <w:sz w:val="24"/>
          <w:szCs w:val="24"/>
        </w:rPr>
        <w:t>de dos mil veint</w:t>
      </w:r>
      <w:r w:rsidR="00460BBE" w:rsidRPr="00E04D00">
        <w:rPr>
          <w:rFonts w:ascii="Century Gothic" w:hAnsi="Century Gothic"/>
          <w:sz w:val="24"/>
          <w:szCs w:val="24"/>
        </w:rPr>
        <w:t>i</w:t>
      </w:r>
      <w:r w:rsidR="00EB691D" w:rsidRPr="00E04D00">
        <w:rPr>
          <w:rFonts w:ascii="Century Gothic" w:hAnsi="Century Gothic"/>
          <w:sz w:val="24"/>
          <w:szCs w:val="24"/>
        </w:rPr>
        <w:t>séis</w:t>
      </w:r>
      <w:r w:rsidRPr="00E04D00"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 w:rsidRPr="00E04D00">
        <w:rPr>
          <w:rFonts w:ascii="Century Gothic" w:hAnsi="Century Gothic"/>
          <w:b/>
          <w:sz w:val="24"/>
          <w:szCs w:val="24"/>
        </w:rPr>
        <w:t xml:space="preserve">catorce </w:t>
      </w:r>
      <w:r w:rsidRPr="00E04D00">
        <w:rPr>
          <w:rFonts w:ascii="Century Gothic" w:hAnsi="Century Gothic"/>
          <w:b/>
          <w:sz w:val="24"/>
          <w:szCs w:val="24"/>
        </w:rPr>
        <w:t>horas</w:t>
      </w:r>
      <w:r w:rsidR="001C2079" w:rsidRPr="00E04D00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>del</w:t>
      </w:r>
      <w:r w:rsidR="00AF2B85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190EEB">
        <w:rPr>
          <w:rFonts w:ascii="Century Gothic" w:hAnsi="Century Gothic"/>
          <w:b/>
          <w:sz w:val="24"/>
          <w:szCs w:val="24"/>
        </w:rPr>
        <w:t>diecisiete</w:t>
      </w:r>
      <w:r w:rsidR="00BC187B">
        <w:rPr>
          <w:rFonts w:ascii="Century Gothic" w:hAnsi="Century Gothic"/>
          <w:b/>
          <w:sz w:val="24"/>
          <w:szCs w:val="24"/>
        </w:rPr>
        <w:t xml:space="preserve"> de marzo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A3417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, </w:t>
      </w:r>
      <w:r w:rsidRPr="00E04D00">
        <w:rPr>
          <w:rFonts w:ascii="Century Gothic" w:hAnsi="Century Gothic"/>
          <w:sz w:val="24"/>
          <w:szCs w:val="24"/>
        </w:rPr>
        <w:t xml:space="preserve">en el Salón de Sesiones ubicado en la 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 w:rsidRPr="00E04D00">
        <w:rPr>
          <w:rFonts w:ascii="Century Gothic" w:hAnsi="Century Gothic"/>
          <w:sz w:val="24"/>
          <w:szCs w:val="24"/>
          <w:lang w:val="es-ES"/>
        </w:rPr>
        <w:t>número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 w:rsidRPr="00E04D00"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Pr="00E04D00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Pr="00E04D00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Pr="00E04D00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0EB1C341" w14:textId="77777777" w:rsidR="00190EEB" w:rsidRPr="00190EEB" w:rsidRDefault="00190EEB" w:rsidP="00190EEB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190EEB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49C4F35" w14:textId="77777777" w:rsidR="00190EEB" w:rsidRPr="00190EEB" w:rsidRDefault="00190EEB" w:rsidP="00190EEB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190EEB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0B977FBF" w14:textId="77777777" w:rsidR="00190EEB" w:rsidRPr="00190EEB" w:rsidRDefault="00190EEB" w:rsidP="00190EEB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190EEB">
        <w:rPr>
          <w:rFonts w:ascii="Century Gothic" w:hAnsi="Century Gothic"/>
          <w:b w:val="0"/>
          <w:sz w:val="24"/>
          <w:szCs w:val="24"/>
        </w:rPr>
        <w:t xml:space="preserve">Recepción del oficio 187/2026, que remite el </w:t>
      </w:r>
      <w:proofErr w:type="gramStart"/>
      <w:r w:rsidRPr="00190EEB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190EEB">
        <w:rPr>
          <w:rFonts w:ascii="Century Gothic" w:hAnsi="Century Gothic"/>
          <w:b w:val="0"/>
          <w:sz w:val="24"/>
          <w:szCs w:val="24"/>
        </w:rPr>
        <w:t xml:space="preserve"> de Acuerdos del Tercer Tribunal Colegiado en Materia Administrativa del Tercer Circuito, relativo al juicio de amparo 216/2025, mediante el cual requieren a este Tribunal por el cumplimiento de la ejecutoria del juicio de amparo referido;</w:t>
      </w:r>
    </w:p>
    <w:p w14:paraId="4E0C6D8B" w14:textId="77777777" w:rsidR="00190EEB" w:rsidRPr="00190EEB" w:rsidRDefault="00190EEB" w:rsidP="00190EEB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190EEB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Recurso de Apelación 120/2024, en cumplimiento a la ejecutoria del juicio de amparo 216/2025 del Tercer Tribunal Colegiado en Materia Administrativa del Tercer Circuito; y</w:t>
      </w:r>
    </w:p>
    <w:p w14:paraId="5FCE85C9" w14:textId="4DD35F50" w:rsidR="00183A40" w:rsidRPr="00E04D00" w:rsidRDefault="00190EEB" w:rsidP="00190EEB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190EEB">
        <w:rPr>
          <w:rFonts w:ascii="Century Gothic" w:hAnsi="Century Gothic"/>
          <w:b w:val="0"/>
          <w:sz w:val="24"/>
          <w:szCs w:val="24"/>
        </w:rPr>
        <w:t>Clausura</w:t>
      </w:r>
      <w:r w:rsidR="00183A40" w:rsidRPr="00E04D00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E04D00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E04D00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4"/>
          <w:szCs w:val="24"/>
        </w:rPr>
      </w:pPr>
    </w:p>
    <w:p w14:paraId="27EA77DF" w14:textId="52FEF6DC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 w:rsidRPr="00E04D00"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6E00438F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ab/>
      </w:r>
      <w:r w:rsidRPr="00E04D00">
        <w:rPr>
          <w:rFonts w:ascii="Century Gothic" w:hAnsi="Century Gothic"/>
          <w:sz w:val="24"/>
          <w:szCs w:val="24"/>
        </w:rPr>
        <w:tab/>
      </w:r>
    </w:p>
    <w:p w14:paraId="592D26E7" w14:textId="1F795CF2" w:rsidR="000F63FB" w:rsidRPr="00E04D00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GUADALAJARA, JALISCO</w:t>
      </w:r>
      <w:r w:rsidR="00380210" w:rsidRPr="00E04D00">
        <w:rPr>
          <w:rFonts w:ascii="Century Gothic" w:hAnsi="Century Gothic"/>
          <w:b/>
          <w:sz w:val="24"/>
          <w:szCs w:val="24"/>
        </w:rPr>
        <w:t xml:space="preserve">, </w:t>
      </w:r>
      <w:r w:rsidR="00190EEB">
        <w:rPr>
          <w:rFonts w:ascii="Century Gothic" w:hAnsi="Century Gothic"/>
          <w:b/>
          <w:sz w:val="24"/>
          <w:szCs w:val="24"/>
        </w:rPr>
        <w:t>DIECISÉIS</w:t>
      </w:r>
      <w:r w:rsidR="00BC187B">
        <w:rPr>
          <w:rFonts w:ascii="Century Gothic" w:hAnsi="Century Gothic"/>
          <w:b/>
          <w:sz w:val="24"/>
          <w:szCs w:val="24"/>
        </w:rPr>
        <w:t xml:space="preserve"> DE ABRIL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B691D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Pr="00E04D00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Pr="00E04D00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Pr="00E04D00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2026-04-21T16:54:00Z</dcterms:created>
  <dcterms:modified xsi:type="dcterms:W3CDTF">2026-04-21T16:54:00Z</dcterms:modified>
</cp:coreProperties>
</file>