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FC2C19">
        <w:rPr>
          <w:rFonts w:ascii="Century Gothic" w:hAnsi="Century Gothic"/>
          <w:b/>
          <w:sz w:val="24"/>
          <w:szCs w:val="24"/>
        </w:rPr>
        <w:t>Quinta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FC2C19">
        <w:rPr>
          <w:rFonts w:ascii="Century Gothic" w:hAnsi="Century Gothic"/>
          <w:b/>
          <w:sz w:val="24"/>
          <w:szCs w:val="24"/>
        </w:rPr>
        <w:t>once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C2C19" w:rsidRPr="0052553A" w:rsidRDefault="00FC2C19" w:rsidP="00FC2C1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C2C19" w:rsidRPr="003041CF" w:rsidRDefault="00FC2C19" w:rsidP="00FC2C1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C2C19" w:rsidRPr="002E5DE8" w:rsidRDefault="00FC2C19" w:rsidP="00FC2C1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Recepción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oficio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352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/2022 </w:t>
      </w:r>
      <w:r>
        <w:rPr>
          <w:rFonts w:ascii="Century Gothic" w:hAnsi="Century Gothic"/>
          <w:b w:val="0"/>
          <w:sz w:val="25"/>
          <w:szCs w:val="25"/>
        </w:rPr>
        <w:t xml:space="preserve">y 115/2022-C </w:t>
      </w:r>
      <w:r w:rsidRPr="002E5DE8">
        <w:rPr>
          <w:rFonts w:ascii="Century Gothic" w:hAnsi="Century Gothic"/>
          <w:b w:val="0"/>
          <w:sz w:val="25"/>
          <w:szCs w:val="25"/>
        </w:rPr>
        <w:t>que remite</w:t>
      </w:r>
      <w:r>
        <w:rPr>
          <w:rFonts w:ascii="Century Gothic" w:hAnsi="Century Gothic"/>
          <w:b w:val="0"/>
          <w:sz w:val="25"/>
          <w:szCs w:val="25"/>
        </w:rPr>
        <w:t>n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Acuerdos del </w:t>
      </w:r>
      <w:r>
        <w:rPr>
          <w:rFonts w:ascii="Century Gothic" w:hAnsi="Century Gothic"/>
          <w:b w:val="0"/>
          <w:sz w:val="25"/>
          <w:szCs w:val="25"/>
        </w:rPr>
        <w:t>Primer y Segundo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número </w:t>
      </w:r>
      <w:r>
        <w:rPr>
          <w:rFonts w:ascii="Century Gothic" w:hAnsi="Century Gothic"/>
          <w:b w:val="0"/>
          <w:sz w:val="25"/>
          <w:szCs w:val="25"/>
        </w:rPr>
        <w:t>202/2021 y 222/2021 mediante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</w:t>
      </w:r>
      <w:r>
        <w:rPr>
          <w:rFonts w:ascii="Century Gothic" w:hAnsi="Century Gothic"/>
          <w:b w:val="0"/>
          <w:sz w:val="25"/>
          <w:szCs w:val="25"/>
        </w:rPr>
        <w:t>es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>
        <w:rPr>
          <w:rFonts w:ascii="Century Gothic" w:hAnsi="Century Gothic"/>
          <w:b w:val="0"/>
          <w:sz w:val="25"/>
          <w:szCs w:val="25"/>
        </w:rPr>
        <w:t>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referido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>;</w:t>
      </w:r>
    </w:p>
    <w:p w:rsidR="00FC2C19" w:rsidRPr="0079425E" w:rsidRDefault="00FC2C19" w:rsidP="00FC2C19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Apelación </w:t>
      </w:r>
      <w:r>
        <w:rPr>
          <w:rFonts w:ascii="Century Gothic" w:hAnsi="Century Gothic"/>
          <w:b w:val="0"/>
          <w:sz w:val="25"/>
          <w:szCs w:val="25"/>
        </w:rPr>
        <w:t>989/2020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202/2021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Segundo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FC2C19" w:rsidRPr="00D2281B" w:rsidRDefault="00FC2C19" w:rsidP="00FC2C19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Juicio de Responsabilidad Patrimonial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17/2018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222/2021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4B7D68" w:rsidRPr="00771D07" w:rsidRDefault="00FC2C19" w:rsidP="00FC2C1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C2C19">
        <w:rPr>
          <w:rFonts w:ascii="Century Gothic" w:hAnsi="Century Gothic"/>
          <w:b/>
          <w:sz w:val="24"/>
          <w:szCs w:val="24"/>
        </w:rPr>
        <w:t>OCHO</w:t>
      </w:r>
      <w:bookmarkStart w:id="0" w:name="_GoBack"/>
      <w:bookmarkEnd w:id="0"/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FC2C19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C2C1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C2C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C2C1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C2C1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C2C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2022-05-12T20:10:00Z</dcterms:created>
  <dcterms:modified xsi:type="dcterms:W3CDTF">2022-05-12T20:10:00Z</dcterms:modified>
</cp:coreProperties>
</file>