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50380D2B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veinte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mayo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5193337F" w14:textId="77777777" w:rsidR="00E14DD3" w:rsidRPr="00E14DD3" w:rsidRDefault="00E14DD3" w:rsidP="00E14D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4DD3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72B775D" w14:textId="77777777" w:rsidR="00E14DD3" w:rsidRPr="00E14DD3" w:rsidRDefault="00E14DD3" w:rsidP="00E14D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4DD3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798EF7A9" w14:textId="77777777" w:rsidR="00E14DD3" w:rsidRPr="00E14DD3" w:rsidRDefault="00E14DD3" w:rsidP="00E14D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4DD3">
        <w:rPr>
          <w:rFonts w:ascii="Century Gothic" w:hAnsi="Century Gothic"/>
          <w:b w:val="0"/>
          <w:sz w:val="24"/>
          <w:szCs w:val="24"/>
        </w:rPr>
        <w:t>Recepción de los oficios 7447/2024 y 5503/2024, que remiten los Secretarios de Acuerdos del Segundo y Cuarto Tribunal Colegiado en Materia Administrativa del Tercer Circuito, relativos a los Juicios de Amparo número 206/2023 y 104/2023, mediante los cuales requieren a este Tribunal por el cumplimiento de la ejecutoria de los juicios de amparo referidos;</w:t>
      </w:r>
    </w:p>
    <w:p w14:paraId="7CBFF62B" w14:textId="77777777" w:rsidR="00E14DD3" w:rsidRPr="00E14DD3" w:rsidRDefault="00E14DD3" w:rsidP="00E14D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4DD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691/2023 Recurso de Reclamación en cumplimiento al Juicio de Amparo 206/2023 del Segundo Tribunal Colegiado en Materia Administrativa del Tercer Circuito;</w:t>
      </w:r>
    </w:p>
    <w:p w14:paraId="6B53BF7D" w14:textId="77777777" w:rsidR="00E14DD3" w:rsidRPr="00E14DD3" w:rsidRDefault="00E14DD3" w:rsidP="00E14D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4DD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103/2023 Recurso de Apelación en cumplimiento al Juicio de Amparo 104/2023 del Cuarto Tribunal Colegiado en Materia Administrativa del Tercer Circuito; y</w:t>
      </w:r>
    </w:p>
    <w:p w14:paraId="762E9662" w14:textId="06E5FF99" w:rsidR="00E457E5" w:rsidRPr="00827754" w:rsidRDefault="00E14DD3" w:rsidP="00E14DD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E14DD3">
        <w:rPr>
          <w:rFonts w:ascii="Century Gothic" w:hAnsi="Century Gothic"/>
          <w:b w:val="0"/>
          <w:sz w:val="24"/>
          <w:szCs w:val="24"/>
        </w:rPr>
        <w:t>Clausura</w:t>
      </w:r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2BCC2C1E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E14DD3">
        <w:rPr>
          <w:rFonts w:ascii="Century Gothic" w:eastAsia="Calibri" w:hAnsi="Century Gothic" w:cs="Times New Roman"/>
          <w:b/>
          <w:sz w:val="24"/>
          <w:szCs w:val="24"/>
        </w:rPr>
        <w:t>MAYO</w:t>
      </w:r>
      <w:bookmarkStart w:id="0" w:name="_GoBack"/>
      <w:bookmarkEnd w:id="0"/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69F6-1F83-4692-84DC-4A8E8022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2024-05-30T20:37:00Z</dcterms:created>
  <dcterms:modified xsi:type="dcterms:W3CDTF">2024-05-30T20:37:00Z</dcterms:modified>
</cp:coreProperties>
</file>