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607C54">
        <w:rPr>
          <w:rFonts w:ascii="Century Gothic" w:hAnsi="Century Gothic"/>
          <w:b/>
          <w:sz w:val="24"/>
          <w:szCs w:val="24"/>
        </w:rPr>
        <w:t>Cuadragésima</w:t>
      </w:r>
      <w:r w:rsidR="002C1841">
        <w:rPr>
          <w:rFonts w:ascii="Century Gothic" w:hAnsi="Century Gothic"/>
          <w:b/>
          <w:sz w:val="24"/>
          <w:szCs w:val="24"/>
        </w:rPr>
        <w:t xml:space="preserve"> Quinta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7B572F">
        <w:rPr>
          <w:rFonts w:ascii="Century Gothic" w:hAnsi="Century Gothic"/>
          <w:b/>
          <w:sz w:val="24"/>
          <w:szCs w:val="24"/>
        </w:rPr>
        <w:t>diecisiete</w:t>
      </w:r>
      <w:r w:rsidR="00CE20FD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C1841" w:rsidRPr="002C1841" w:rsidRDefault="002C1841" w:rsidP="002C184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2C1841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2C1841" w:rsidRPr="002C1841" w:rsidRDefault="002C1841" w:rsidP="002C184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2C1841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2C1841" w:rsidRPr="002C1841" w:rsidRDefault="002C1841" w:rsidP="002C184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2C1841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del ejercicio de facultad de atracción de dos demandas de nulidad. </w:t>
      </w:r>
    </w:p>
    <w:p w:rsidR="004B7D68" w:rsidRPr="00771D07" w:rsidRDefault="002C1841" w:rsidP="002C184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2C1841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7B572F">
        <w:rPr>
          <w:rFonts w:ascii="Century Gothic" w:hAnsi="Century Gothic"/>
          <w:b/>
          <w:sz w:val="24"/>
          <w:szCs w:val="24"/>
        </w:rPr>
        <w:t>ADALAJARA, JALISCO, DIECISÉIS</w:t>
      </w:r>
      <w:r w:rsidR="00CE20FD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B31826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B31826" w:rsidRDefault="00B31826" w:rsidP="00E14B1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 w:rsidR="001C1093" w:rsidRPr="00E14B17" w:rsidRDefault="00972DB9" w:rsidP="00E14B1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B572F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B57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761FD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B572F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B57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26E9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C1841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61FDA"/>
    <w:rsid w:val="00771D07"/>
    <w:rsid w:val="00786A67"/>
    <w:rsid w:val="007B572F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72DB9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31826"/>
    <w:rsid w:val="00B718A7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CE20FD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2022-06-01T17:12:00Z</dcterms:created>
  <dcterms:modified xsi:type="dcterms:W3CDTF">2022-06-01T17:12:00Z</dcterms:modified>
</cp:coreProperties>
</file>