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C6CEC">
        <w:rPr>
          <w:rFonts w:ascii="Century Gothic" w:hAnsi="Century Gothic"/>
          <w:b/>
          <w:sz w:val="24"/>
          <w:szCs w:val="24"/>
        </w:rPr>
        <w:t>Quincuagésima Primera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2C6CEC">
        <w:rPr>
          <w:rFonts w:ascii="Century Gothic" w:hAnsi="Century Gothic"/>
          <w:b/>
          <w:sz w:val="24"/>
          <w:szCs w:val="24"/>
        </w:rPr>
        <w:t>treinta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C6CEC" w:rsidRPr="002C6CEC" w:rsidRDefault="002C6CEC" w:rsidP="002C6CE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6CEC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2C6CEC" w:rsidRPr="002C6CEC" w:rsidRDefault="002C6CEC" w:rsidP="002C6CE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6CEC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2C6CEC" w:rsidRPr="002C6CEC" w:rsidRDefault="002C6CEC" w:rsidP="002C6CE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6CEC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8902/2022 que remite el Secretario de Acuerdos del Segundo Tribunal Colegiado en materia Administrativa del Tercer Circuito, relativo al Juicio de Amparo número 108/2021 mediante el cual requiere a este Tribunal por el cumplimiento de la ejecutoria del juicio de amparo referido;</w:t>
      </w:r>
    </w:p>
    <w:p w:rsidR="002C6CEC" w:rsidRPr="002C6CEC" w:rsidRDefault="002C6CEC" w:rsidP="002C6CE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2C6CEC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Apelación 702/2020 en cumplimiento al Juicio de Amparo 108/2021 del Segundo Tribunal Colegiado en materia Administrativa del Tercer Circuito;</w:t>
      </w:r>
    </w:p>
    <w:p w:rsidR="004B7D68" w:rsidRPr="00771D07" w:rsidRDefault="002C6CEC" w:rsidP="002C6CE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C6CEC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2C6CEC">
        <w:rPr>
          <w:rFonts w:ascii="Century Gothic" w:hAnsi="Century Gothic"/>
          <w:b/>
          <w:sz w:val="24"/>
          <w:szCs w:val="24"/>
        </w:rPr>
        <w:t>VEINTISIETE</w:t>
      </w:r>
      <w:r w:rsidR="00B7513A">
        <w:rPr>
          <w:rFonts w:ascii="Century Gothic" w:hAnsi="Century Gothic"/>
          <w:b/>
          <w:sz w:val="24"/>
          <w:szCs w:val="24"/>
        </w:rPr>
        <w:t xml:space="preserve">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2C6CE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 EN FUNCIONES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2C6CEC" w:rsidP="00E14B1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MAGISTRADO JOSÉ RAMÓN JIMÉNEZ GUTIÉRREZ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2C6CEC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2C6CE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A4D8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2C6CEC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2C6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C6CEC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2022-06-03T16:19:00Z</dcterms:created>
  <dcterms:modified xsi:type="dcterms:W3CDTF">2022-06-03T16:19:00Z</dcterms:modified>
</cp:coreProperties>
</file>