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7C62D8">
        <w:rPr>
          <w:rFonts w:ascii="Century Gothic" w:hAnsi="Century Gothic"/>
          <w:b/>
          <w:sz w:val="24"/>
          <w:szCs w:val="24"/>
        </w:rPr>
        <w:t>Quincuagésima Cuarta</w:t>
      </w:r>
      <w:r w:rsidR="001D204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1F31A0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7C62D8">
        <w:rPr>
          <w:rFonts w:ascii="Century Gothic" w:hAnsi="Century Gothic"/>
          <w:b/>
          <w:sz w:val="24"/>
          <w:szCs w:val="24"/>
        </w:rPr>
        <w:t xml:space="preserve"> seis</w:t>
      </w:r>
      <w:r w:rsidR="00240E43">
        <w:rPr>
          <w:rFonts w:ascii="Century Gothic" w:hAnsi="Century Gothic"/>
          <w:b/>
          <w:sz w:val="24"/>
          <w:szCs w:val="24"/>
        </w:rPr>
        <w:t xml:space="preserve"> de junio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7C62D8" w:rsidRPr="0052553A" w:rsidRDefault="007C62D8" w:rsidP="007C62D8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7C62D8" w:rsidRPr="003041CF" w:rsidRDefault="007C62D8" w:rsidP="007C62D8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7C62D8" w:rsidRDefault="007C62D8" w:rsidP="007C62D8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5"/>
          <w:szCs w:val="25"/>
        </w:rPr>
      </w:pPr>
      <w:r w:rsidRPr="002E5DE8">
        <w:rPr>
          <w:rFonts w:ascii="Century Gothic" w:hAnsi="Century Gothic"/>
          <w:b w:val="0"/>
          <w:sz w:val="25"/>
          <w:szCs w:val="25"/>
        </w:rPr>
        <w:t>Recepción de</w:t>
      </w:r>
      <w:r>
        <w:rPr>
          <w:rFonts w:ascii="Century Gothic" w:hAnsi="Century Gothic"/>
          <w:b w:val="0"/>
          <w:sz w:val="25"/>
          <w:szCs w:val="25"/>
        </w:rPr>
        <w:t xml:space="preserve"> </w:t>
      </w:r>
      <w:r w:rsidRPr="002E5DE8">
        <w:rPr>
          <w:rFonts w:ascii="Century Gothic" w:hAnsi="Century Gothic"/>
          <w:b w:val="0"/>
          <w:sz w:val="25"/>
          <w:szCs w:val="25"/>
        </w:rPr>
        <w:t>l</w:t>
      </w:r>
      <w:r>
        <w:rPr>
          <w:rFonts w:ascii="Century Gothic" w:hAnsi="Century Gothic"/>
          <w:b w:val="0"/>
          <w:sz w:val="25"/>
          <w:szCs w:val="25"/>
        </w:rPr>
        <w:t>os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oficio</w:t>
      </w:r>
      <w:r>
        <w:rPr>
          <w:rFonts w:ascii="Century Gothic" w:hAnsi="Century Gothic"/>
          <w:b w:val="0"/>
          <w:sz w:val="25"/>
          <w:szCs w:val="25"/>
        </w:rPr>
        <w:t>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</w:t>
      </w:r>
      <w:r>
        <w:rPr>
          <w:rFonts w:ascii="Century Gothic" w:hAnsi="Century Gothic"/>
          <w:b w:val="0"/>
          <w:sz w:val="25"/>
          <w:szCs w:val="25"/>
        </w:rPr>
        <w:t xml:space="preserve">7881/2022, 7072/2022 y 16553/2022 </w:t>
      </w:r>
      <w:r w:rsidRPr="002E5DE8">
        <w:rPr>
          <w:rFonts w:ascii="Century Gothic" w:hAnsi="Century Gothic"/>
          <w:b w:val="0"/>
          <w:sz w:val="25"/>
          <w:szCs w:val="25"/>
        </w:rPr>
        <w:t>que remite</w:t>
      </w:r>
      <w:r>
        <w:rPr>
          <w:rFonts w:ascii="Century Gothic" w:hAnsi="Century Gothic"/>
          <w:b w:val="0"/>
          <w:sz w:val="25"/>
          <w:szCs w:val="25"/>
        </w:rPr>
        <w:t>n los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Secretario</w:t>
      </w:r>
      <w:r>
        <w:rPr>
          <w:rFonts w:ascii="Century Gothic" w:hAnsi="Century Gothic"/>
          <w:b w:val="0"/>
          <w:sz w:val="25"/>
          <w:szCs w:val="25"/>
        </w:rPr>
        <w:t>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de Acuerdos del </w:t>
      </w:r>
      <w:r>
        <w:rPr>
          <w:rFonts w:ascii="Century Gothic" w:hAnsi="Century Gothic"/>
          <w:b w:val="0"/>
          <w:sz w:val="25"/>
          <w:szCs w:val="25"/>
        </w:rPr>
        <w:t>Tercer y Cuarto Tribunal Colegiado en materia Administrativa del Tercer Circuito así como del Juzgado Cuarto de Distrito en materias Administrativa, Civil y de Trabajo en el Estado de Jalisco</w:t>
      </w:r>
      <w:r w:rsidRPr="002E5DE8">
        <w:rPr>
          <w:rFonts w:ascii="Century Gothic" w:hAnsi="Century Gothic"/>
          <w:b w:val="0"/>
          <w:sz w:val="25"/>
          <w:szCs w:val="25"/>
        </w:rPr>
        <w:t>, relativo</w:t>
      </w:r>
      <w:r>
        <w:rPr>
          <w:rFonts w:ascii="Century Gothic" w:hAnsi="Century Gothic"/>
          <w:b w:val="0"/>
          <w:sz w:val="25"/>
          <w:szCs w:val="25"/>
        </w:rPr>
        <w:t>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a</w:t>
      </w:r>
      <w:r>
        <w:rPr>
          <w:rFonts w:ascii="Century Gothic" w:hAnsi="Century Gothic"/>
          <w:b w:val="0"/>
          <w:sz w:val="25"/>
          <w:szCs w:val="25"/>
        </w:rPr>
        <w:t xml:space="preserve"> </w:t>
      </w:r>
      <w:r w:rsidRPr="002E5DE8">
        <w:rPr>
          <w:rFonts w:ascii="Century Gothic" w:hAnsi="Century Gothic"/>
          <w:b w:val="0"/>
          <w:sz w:val="25"/>
          <w:szCs w:val="25"/>
        </w:rPr>
        <w:t>l</w:t>
      </w:r>
      <w:r>
        <w:rPr>
          <w:rFonts w:ascii="Century Gothic" w:hAnsi="Century Gothic"/>
          <w:b w:val="0"/>
          <w:sz w:val="25"/>
          <w:szCs w:val="25"/>
        </w:rPr>
        <w:t>os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Juicio</w:t>
      </w:r>
      <w:r>
        <w:rPr>
          <w:rFonts w:ascii="Century Gothic" w:hAnsi="Century Gothic"/>
          <w:b w:val="0"/>
          <w:sz w:val="25"/>
          <w:szCs w:val="25"/>
        </w:rPr>
        <w:t>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de Amparo número </w:t>
      </w:r>
      <w:r>
        <w:rPr>
          <w:rFonts w:ascii="Century Gothic" w:hAnsi="Century Gothic"/>
          <w:b w:val="0"/>
          <w:sz w:val="25"/>
          <w:szCs w:val="25"/>
        </w:rPr>
        <w:t>163/2020, 22/2022 y 1433/2020 mediante los cuales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requiere</w:t>
      </w:r>
      <w:r>
        <w:rPr>
          <w:rFonts w:ascii="Century Gothic" w:hAnsi="Century Gothic"/>
          <w:b w:val="0"/>
          <w:sz w:val="25"/>
          <w:szCs w:val="25"/>
        </w:rPr>
        <w:t>n</w:t>
      </w:r>
      <w:r w:rsidRPr="004E012F">
        <w:rPr>
          <w:rFonts w:ascii="Century Gothic" w:hAnsi="Century Gothic"/>
          <w:b w:val="0"/>
          <w:sz w:val="25"/>
          <w:szCs w:val="25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5"/>
          <w:szCs w:val="25"/>
        </w:rPr>
        <w:t xml:space="preserve"> </w:t>
      </w:r>
      <w:r w:rsidRPr="004E012F">
        <w:rPr>
          <w:rFonts w:ascii="Century Gothic" w:hAnsi="Century Gothic"/>
          <w:b w:val="0"/>
          <w:sz w:val="25"/>
          <w:szCs w:val="25"/>
        </w:rPr>
        <w:t>l</w:t>
      </w:r>
      <w:r>
        <w:rPr>
          <w:rFonts w:ascii="Century Gothic" w:hAnsi="Century Gothic"/>
          <w:b w:val="0"/>
          <w:sz w:val="25"/>
          <w:szCs w:val="25"/>
        </w:rPr>
        <w:t>os</w:t>
      </w:r>
      <w:r w:rsidRPr="004E012F">
        <w:rPr>
          <w:rFonts w:ascii="Century Gothic" w:hAnsi="Century Gothic"/>
          <w:b w:val="0"/>
          <w:sz w:val="25"/>
          <w:szCs w:val="25"/>
        </w:rPr>
        <w:t xml:space="preserve"> juicio</w:t>
      </w:r>
      <w:r>
        <w:rPr>
          <w:rFonts w:ascii="Century Gothic" w:hAnsi="Century Gothic"/>
          <w:b w:val="0"/>
          <w:sz w:val="25"/>
          <w:szCs w:val="25"/>
        </w:rPr>
        <w:t>s</w:t>
      </w:r>
      <w:r w:rsidRPr="004E012F">
        <w:rPr>
          <w:rFonts w:ascii="Century Gothic" w:hAnsi="Century Gothic"/>
          <w:b w:val="0"/>
          <w:sz w:val="25"/>
          <w:szCs w:val="25"/>
        </w:rPr>
        <w:t xml:space="preserve"> de amparo referido</w:t>
      </w:r>
      <w:r>
        <w:rPr>
          <w:rFonts w:ascii="Century Gothic" w:hAnsi="Century Gothic"/>
          <w:b w:val="0"/>
          <w:sz w:val="25"/>
          <w:szCs w:val="25"/>
        </w:rPr>
        <w:t>s</w:t>
      </w:r>
      <w:r w:rsidRPr="004E012F">
        <w:rPr>
          <w:rFonts w:ascii="Century Gothic" w:hAnsi="Century Gothic"/>
          <w:b w:val="0"/>
          <w:sz w:val="25"/>
          <w:szCs w:val="25"/>
        </w:rPr>
        <w:t>;</w:t>
      </w:r>
    </w:p>
    <w:p w:rsidR="007C62D8" w:rsidRPr="004A7D8B" w:rsidRDefault="007C62D8" w:rsidP="007C62D8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CD7A2E">
        <w:rPr>
          <w:rFonts w:ascii="Century Gothic" w:hAnsi="Century Gothic"/>
          <w:b w:val="0"/>
          <w:sz w:val="25"/>
          <w:szCs w:val="25"/>
        </w:rPr>
        <w:t>Análisis, discusión y en su caso aprobación del proyecto de sentencia del expedie</w:t>
      </w:r>
      <w:r>
        <w:rPr>
          <w:rFonts w:ascii="Century Gothic" w:hAnsi="Century Gothic"/>
          <w:b w:val="0"/>
          <w:sz w:val="25"/>
          <w:szCs w:val="25"/>
        </w:rPr>
        <w:t>nte del Recurso de Reclamación 319/2020</w:t>
      </w:r>
      <w:r w:rsidRPr="00CD7A2E">
        <w:rPr>
          <w:rFonts w:ascii="Century Gothic" w:hAnsi="Century Gothic"/>
          <w:b w:val="0"/>
          <w:sz w:val="25"/>
          <w:szCs w:val="25"/>
          <w:lang w:val="es-MX"/>
        </w:rPr>
        <w:t xml:space="preserve"> </w:t>
      </w:r>
      <w:r w:rsidRPr="00291321">
        <w:rPr>
          <w:rFonts w:ascii="Century Gothic" w:hAnsi="Century Gothic"/>
          <w:b w:val="0"/>
          <w:sz w:val="25"/>
          <w:szCs w:val="25"/>
          <w:lang w:val="es-MX"/>
        </w:rPr>
        <w:t>en cumpl</w:t>
      </w:r>
      <w:r>
        <w:rPr>
          <w:rFonts w:ascii="Century Gothic" w:hAnsi="Century Gothic"/>
          <w:b w:val="0"/>
          <w:sz w:val="25"/>
          <w:szCs w:val="25"/>
          <w:lang w:val="es-MX"/>
        </w:rPr>
        <w:t>imiento al Juicio de Amparo 163/2020</w:t>
      </w:r>
      <w:r w:rsidRPr="00291321">
        <w:rPr>
          <w:rFonts w:ascii="Century Gothic" w:hAnsi="Century Gothic"/>
          <w:b w:val="0"/>
          <w:sz w:val="25"/>
          <w:szCs w:val="25"/>
          <w:lang w:val="es-MX"/>
        </w:rPr>
        <w:t xml:space="preserve"> </w:t>
      </w:r>
      <w:r>
        <w:rPr>
          <w:rFonts w:ascii="Century Gothic" w:hAnsi="Century Gothic"/>
          <w:b w:val="0"/>
          <w:sz w:val="25"/>
          <w:szCs w:val="25"/>
          <w:lang w:val="es-MX"/>
        </w:rPr>
        <w:t xml:space="preserve">del </w:t>
      </w:r>
      <w:r>
        <w:rPr>
          <w:rFonts w:ascii="Century Gothic" w:hAnsi="Century Gothic"/>
          <w:b w:val="0"/>
          <w:sz w:val="25"/>
          <w:szCs w:val="25"/>
        </w:rPr>
        <w:t>Cuarto Tribunal Colegiado en materia Administrativa del Tercer Circuito;</w:t>
      </w:r>
    </w:p>
    <w:p w:rsidR="007C62D8" w:rsidRPr="004A7D8B" w:rsidRDefault="007C62D8" w:rsidP="007C62D8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CD7A2E">
        <w:rPr>
          <w:rFonts w:ascii="Century Gothic" w:hAnsi="Century Gothic"/>
          <w:b w:val="0"/>
          <w:sz w:val="25"/>
          <w:szCs w:val="25"/>
        </w:rPr>
        <w:t>Análisis, discusión y en su caso aprobación del proyecto de sentencia del expedie</w:t>
      </w:r>
      <w:r>
        <w:rPr>
          <w:rFonts w:ascii="Century Gothic" w:hAnsi="Century Gothic"/>
          <w:b w:val="0"/>
          <w:sz w:val="25"/>
          <w:szCs w:val="25"/>
        </w:rPr>
        <w:t>nte del Recurso de Reclamación 1413/2021</w:t>
      </w:r>
      <w:r w:rsidRPr="00CD7A2E">
        <w:rPr>
          <w:rFonts w:ascii="Century Gothic" w:hAnsi="Century Gothic"/>
          <w:b w:val="0"/>
          <w:sz w:val="25"/>
          <w:szCs w:val="25"/>
          <w:lang w:val="es-MX"/>
        </w:rPr>
        <w:t xml:space="preserve"> </w:t>
      </w:r>
      <w:r w:rsidRPr="00291321">
        <w:rPr>
          <w:rFonts w:ascii="Century Gothic" w:hAnsi="Century Gothic"/>
          <w:b w:val="0"/>
          <w:sz w:val="25"/>
          <w:szCs w:val="25"/>
          <w:lang w:val="es-MX"/>
        </w:rPr>
        <w:t>en cumpl</w:t>
      </w:r>
      <w:r>
        <w:rPr>
          <w:rFonts w:ascii="Century Gothic" w:hAnsi="Century Gothic"/>
          <w:b w:val="0"/>
          <w:sz w:val="25"/>
          <w:szCs w:val="25"/>
          <w:lang w:val="es-MX"/>
        </w:rPr>
        <w:t>imiento al Juicio de Amparo 22/2022</w:t>
      </w:r>
      <w:r w:rsidRPr="00291321">
        <w:rPr>
          <w:rFonts w:ascii="Century Gothic" w:hAnsi="Century Gothic"/>
          <w:b w:val="0"/>
          <w:sz w:val="25"/>
          <w:szCs w:val="25"/>
          <w:lang w:val="es-MX"/>
        </w:rPr>
        <w:t xml:space="preserve"> </w:t>
      </w:r>
      <w:r>
        <w:rPr>
          <w:rFonts w:ascii="Century Gothic" w:hAnsi="Century Gothic"/>
          <w:b w:val="0"/>
          <w:sz w:val="25"/>
          <w:szCs w:val="25"/>
          <w:lang w:val="es-MX"/>
        </w:rPr>
        <w:t xml:space="preserve">del </w:t>
      </w:r>
      <w:r>
        <w:rPr>
          <w:rFonts w:ascii="Century Gothic" w:hAnsi="Century Gothic"/>
          <w:b w:val="0"/>
          <w:sz w:val="25"/>
          <w:szCs w:val="25"/>
        </w:rPr>
        <w:t>Tercer Tribunal Colegiado en materia Administrativa del Tercer Circuito;</w:t>
      </w:r>
    </w:p>
    <w:p w:rsidR="007C62D8" w:rsidRPr="004A7D8B" w:rsidRDefault="007C62D8" w:rsidP="007C62D8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CD7A2E">
        <w:rPr>
          <w:rFonts w:ascii="Century Gothic" w:hAnsi="Century Gothic"/>
          <w:b w:val="0"/>
          <w:sz w:val="25"/>
          <w:szCs w:val="25"/>
        </w:rPr>
        <w:t>Análisis, discusión y en su caso aprobación del proyecto de sentencia del expedie</w:t>
      </w:r>
      <w:r>
        <w:rPr>
          <w:rFonts w:ascii="Century Gothic" w:hAnsi="Century Gothic"/>
          <w:b w:val="0"/>
          <w:sz w:val="25"/>
          <w:szCs w:val="25"/>
        </w:rPr>
        <w:t>nte del Recurso de Apelación 1046/2018</w:t>
      </w:r>
      <w:r w:rsidRPr="00CD7A2E">
        <w:rPr>
          <w:rFonts w:ascii="Century Gothic" w:hAnsi="Century Gothic"/>
          <w:b w:val="0"/>
          <w:sz w:val="25"/>
          <w:szCs w:val="25"/>
          <w:lang w:val="es-MX"/>
        </w:rPr>
        <w:t xml:space="preserve"> </w:t>
      </w:r>
      <w:r w:rsidRPr="00291321">
        <w:rPr>
          <w:rFonts w:ascii="Century Gothic" w:hAnsi="Century Gothic"/>
          <w:b w:val="0"/>
          <w:sz w:val="25"/>
          <w:szCs w:val="25"/>
          <w:lang w:val="es-MX"/>
        </w:rPr>
        <w:t>en cumpl</w:t>
      </w:r>
      <w:r>
        <w:rPr>
          <w:rFonts w:ascii="Century Gothic" w:hAnsi="Century Gothic"/>
          <w:b w:val="0"/>
          <w:sz w:val="25"/>
          <w:szCs w:val="25"/>
          <w:lang w:val="es-MX"/>
        </w:rPr>
        <w:t>imiento al Juicio de Amparo 1433/2020</w:t>
      </w:r>
      <w:r w:rsidRPr="00291321">
        <w:rPr>
          <w:rFonts w:ascii="Century Gothic" w:hAnsi="Century Gothic"/>
          <w:b w:val="0"/>
          <w:sz w:val="25"/>
          <w:szCs w:val="25"/>
          <w:lang w:val="es-MX"/>
        </w:rPr>
        <w:t xml:space="preserve"> </w:t>
      </w:r>
      <w:r>
        <w:rPr>
          <w:rFonts w:ascii="Century Gothic" w:hAnsi="Century Gothic"/>
          <w:b w:val="0"/>
          <w:sz w:val="25"/>
          <w:szCs w:val="25"/>
          <w:lang w:val="es-MX"/>
        </w:rPr>
        <w:t xml:space="preserve">del </w:t>
      </w:r>
      <w:r>
        <w:rPr>
          <w:rFonts w:ascii="Century Gothic" w:hAnsi="Century Gothic"/>
          <w:b w:val="0"/>
          <w:sz w:val="25"/>
          <w:szCs w:val="25"/>
        </w:rPr>
        <w:t>Juzgado Cuarto de Distrito en materias Administrativa, Civil y de Trabajo en el Estado de Jalisco;</w:t>
      </w:r>
    </w:p>
    <w:p w:rsidR="007C62D8" w:rsidRPr="00CD7A2E" w:rsidRDefault="007C62D8" w:rsidP="007C62D8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>
        <w:rPr>
          <w:rFonts w:ascii="Century Gothic" w:hAnsi="Century Gothic"/>
          <w:b w:val="0"/>
          <w:sz w:val="25"/>
          <w:szCs w:val="25"/>
        </w:rPr>
        <w:t>Asuntos varios;</w:t>
      </w:r>
    </w:p>
    <w:p w:rsidR="004B7D68" w:rsidRPr="00771D07" w:rsidRDefault="007C62D8" w:rsidP="007C62D8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7C62D8">
        <w:rPr>
          <w:rFonts w:ascii="Century Gothic" w:hAnsi="Century Gothic"/>
          <w:b/>
          <w:sz w:val="24"/>
          <w:szCs w:val="24"/>
        </w:rPr>
        <w:t>TRES DE JUNIO</w:t>
      </w:r>
      <w:bookmarkStart w:id="0" w:name="_GoBack"/>
      <w:bookmarkEnd w:id="0"/>
      <w:r w:rsidR="00C619F6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C619F6">
        <w:rPr>
          <w:rFonts w:ascii="Century Gothic" w:hAnsi="Century Gothic"/>
          <w:b/>
          <w:sz w:val="24"/>
          <w:szCs w:val="24"/>
        </w:rPr>
        <w:t>DE</w:t>
      </w:r>
      <w:proofErr w:type="spellEnd"/>
      <w:r w:rsidR="00C619F6">
        <w:rPr>
          <w:rFonts w:ascii="Century Gothic" w:hAnsi="Century Gothic"/>
          <w:b/>
          <w:sz w:val="24"/>
          <w:szCs w:val="24"/>
        </w:rPr>
        <w:t xml:space="preserve"> DOS MIL </w:t>
      </w:r>
      <w:r w:rsidR="00FC2C19">
        <w:rPr>
          <w:rFonts w:ascii="Century Gothic" w:hAnsi="Century Gothic"/>
          <w:b/>
          <w:sz w:val="24"/>
          <w:szCs w:val="24"/>
        </w:rPr>
        <w:t>VEINTIDÓS</w:t>
      </w:r>
    </w:p>
    <w:p w:rsidR="009431EA" w:rsidRPr="007E0F49" w:rsidRDefault="00945671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PRESIDENTA 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1C1093" w:rsidRPr="00E14B17" w:rsidRDefault="00945671" w:rsidP="00E14B17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  </w:t>
      </w:r>
    </w:p>
    <w:sectPr w:rsidR="001C1093" w:rsidRPr="00E14B17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7C62D8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7C62D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7C62D8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7C62D8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7C62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777B"/>
    <w:rsid w:val="001D2045"/>
    <w:rsid w:val="001F31A0"/>
    <w:rsid w:val="00202B4D"/>
    <w:rsid w:val="00217CAE"/>
    <w:rsid w:val="002221D4"/>
    <w:rsid w:val="00227200"/>
    <w:rsid w:val="00240E43"/>
    <w:rsid w:val="00244E47"/>
    <w:rsid w:val="0025424C"/>
    <w:rsid w:val="00257159"/>
    <w:rsid w:val="002C6A44"/>
    <w:rsid w:val="002C6CEC"/>
    <w:rsid w:val="002F4D2D"/>
    <w:rsid w:val="00306917"/>
    <w:rsid w:val="003369CD"/>
    <w:rsid w:val="00384412"/>
    <w:rsid w:val="00395049"/>
    <w:rsid w:val="003A07C1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603A2D"/>
    <w:rsid w:val="00607C54"/>
    <w:rsid w:val="006E4BDD"/>
    <w:rsid w:val="00710AC5"/>
    <w:rsid w:val="00771D07"/>
    <w:rsid w:val="00786A67"/>
    <w:rsid w:val="007C5E63"/>
    <w:rsid w:val="007C62D8"/>
    <w:rsid w:val="007E5955"/>
    <w:rsid w:val="007F2118"/>
    <w:rsid w:val="007F40F5"/>
    <w:rsid w:val="00804E6B"/>
    <w:rsid w:val="00840F66"/>
    <w:rsid w:val="008479B1"/>
    <w:rsid w:val="008C269A"/>
    <w:rsid w:val="008F3AF5"/>
    <w:rsid w:val="009431EA"/>
    <w:rsid w:val="00945671"/>
    <w:rsid w:val="00962670"/>
    <w:rsid w:val="0099457A"/>
    <w:rsid w:val="009D2487"/>
    <w:rsid w:val="009E6EA7"/>
    <w:rsid w:val="00A27FBA"/>
    <w:rsid w:val="00A531B1"/>
    <w:rsid w:val="00A640DF"/>
    <w:rsid w:val="00A72D3F"/>
    <w:rsid w:val="00AA4D8B"/>
    <w:rsid w:val="00AB5F77"/>
    <w:rsid w:val="00AD7BC1"/>
    <w:rsid w:val="00B2054D"/>
    <w:rsid w:val="00B718A7"/>
    <w:rsid w:val="00B7513A"/>
    <w:rsid w:val="00B813F5"/>
    <w:rsid w:val="00B86586"/>
    <w:rsid w:val="00BC6453"/>
    <w:rsid w:val="00BE16A3"/>
    <w:rsid w:val="00BE5873"/>
    <w:rsid w:val="00BF0F10"/>
    <w:rsid w:val="00C3017B"/>
    <w:rsid w:val="00C619F6"/>
    <w:rsid w:val="00C97146"/>
    <w:rsid w:val="00CD273C"/>
    <w:rsid w:val="00CD40C1"/>
    <w:rsid w:val="00D031F6"/>
    <w:rsid w:val="00D46FBB"/>
    <w:rsid w:val="00D60524"/>
    <w:rsid w:val="00DA72FE"/>
    <w:rsid w:val="00DB1907"/>
    <w:rsid w:val="00DC6F19"/>
    <w:rsid w:val="00E14B17"/>
    <w:rsid w:val="00E249CE"/>
    <w:rsid w:val="00E74CE5"/>
    <w:rsid w:val="00E75AF3"/>
    <w:rsid w:val="00E90164"/>
    <w:rsid w:val="00EB7D38"/>
    <w:rsid w:val="00F00A27"/>
    <w:rsid w:val="00F42472"/>
    <w:rsid w:val="00F461D0"/>
    <w:rsid w:val="00F46FD6"/>
    <w:rsid w:val="00F56006"/>
    <w:rsid w:val="00F619DD"/>
    <w:rsid w:val="00F82AA0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2022-06-07T16:53:00Z</dcterms:created>
  <dcterms:modified xsi:type="dcterms:W3CDTF">2022-06-07T16:53:00Z</dcterms:modified>
</cp:coreProperties>
</file>