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25AB1">
        <w:rPr>
          <w:rFonts w:ascii="Century Gothic" w:hAnsi="Century Gothic"/>
          <w:b/>
          <w:sz w:val="24"/>
          <w:szCs w:val="24"/>
        </w:rPr>
        <w:t>Quincuagésima Novena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6E45F9">
        <w:rPr>
          <w:rFonts w:ascii="Century Gothic" w:hAnsi="Century Gothic"/>
          <w:b/>
          <w:sz w:val="24"/>
          <w:szCs w:val="24"/>
        </w:rPr>
        <w:t>cator</w:t>
      </w:r>
      <w:r w:rsidR="001F31A0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E25AB1">
        <w:rPr>
          <w:rFonts w:ascii="Century Gothic" w:hAnsi="Century Gothic"/>
          <w:b/>
          <w:sz w:val="24"/>
          <w:szCs w:val="24"/>
        </w:rPr>
        <w:t>catorce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25AB1" w:rsidRPr="00B339E5" w:rsidRDefault="00E25AB1" w:rsidP="00E25AB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25AB1" w:rsidRPr="00B339E5" w:rsidRDefault="00E25AB1" w:rsidP="00E25AB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25AB1" w:rsidRPr="00B339E5" w:rsidRDefault="00E25AB1" w:rsidP="00E25AB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237</w:t>
      </w:r>
      <w:r w:rsidRPr="00B339E5">
        <w:rPr>
          <w:rFonts w:ascii="Century Gothic" w:hAnsi="Century Gothic"/>
          <w:b w:val="0"/>
          <w:sz w:val="24"/>
          <w:szCs w:val="24"/>
        </w:rPr>
        <w:t xml:space="preserve">/2022 que remite el Secretario de Acuerdos del </w:t>
      </w:r>
      <w:r>
        <w:rPr>
          <w:rFonts w:ascii="Century Gothic" w:hAnsi="Century Gothic"/>
          <w:b w:val="0"/>
          <w:sz w:val="24"/>
          <w:szCs w:val="24"/>
        </w:rPr>
        <w:t>Quinto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159/2021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referido;</w:t>
      </w:r>
    </w:p>
    <w:p w:rsidR="00E25AB1" w:rsidRPr="00D4531F" w:rsidRDefault="00E25AB1" w:rsidP="00E25AB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</w:t>
      </w:r>
      <w:r>
        <w:rPr>
          <w:rFonts w:ascii="Century Gothic" w:hAnsi="Century Gothic"/>
          <w:b w:val="0"/>
          <w:sz w:val="24"/>
          <w:szCs w:val="24"/>
        </w:rPr>
        <w:t>te del Juicio de Responsabilidad Patrimonial 23/2019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159/2021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Quinto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E25AB1" w:rsidRPr="00D4531F" w:rsidRDefault="00E25AB1" w:rsidP="00E25AB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</w:t>
      </w:r>
      <w:r>
        <w:rPr>
          <w:rFonts w:ascii="Century Gothic" w:hAnsi="Century Gothic"/>
          <w:b w:val="0"/>
          <w:sz w:val="24"/>
          <w:szCs w:val="24"/>
        </w:rPr>
        <w:t xml:space="preserve"> la Aclaración de S</w:t>
      </w:r>
      <w:r w:rsidRPr="00B339E5">
        <w:rPr>
          <w:rFonts w:ascii="Century Gothic" w:hAnsi="Century Gothic"/>
          <w:b w:val="0"/>
          <w:sz w:val="24"/>
          <w:szCs w:val="24"/>
        </w:rPr>
        <w:t>entencia del expedien</w:t>
      </w:r>
      <w:r>
        <w:rPr>
          <w:rFonts w:ascii="Century Gothic" w:hAnsi="Century Gothic"/>
          <w:b w:val="0"/>
          <w:sz w:val="24"/>
          <w:szCs w:val="24"/>
        </w:rPr>
        <w:t>te del Recurso de Apelación 353/2022;</w:t>
      </w:r>
    </w:p>
    <w:p w:rsidR="00E25AB1" w:rsidRPr="00D4531F" w:rsidRDefault="00E25AB1" w:rsidP="00E25AB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Incidente de Suspensión de la Facultad de Atracción 05/2022;</w:t>
      </w:r>
    </w:p>
    <w:p w:rsidR="00E25AB1" w:rsidRPr="00B339E5" w:rsidRDefault="00E25AB1" w:rsidP="00E25AB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</w:t>
      </w:r>
    </w:p>
    <w:p w:rsidR="004B7D68" w:rsidRPr="00771D07" w:rsidRDefault="00E25AB1" w:rsidP="00E25AB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bookmarkStart w:id="0" w:name="_GoBack"/>
      <w:bookmarkEnd w:id="0"/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25AB1">
        <w:rPr>
          <w:rFonts w:ascii="Century Gothic" w:hAnsi="Century Gothic"/>
          <w:b/>
          <w:sz w:val="24"/>
          <w:szCs w:val="24"/>
        </w:rPr>
        <w:t>TRECE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25AB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E25A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E25AB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E25AB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E25A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43416"/>
    <w:rsid w:val="006E45F9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25AB1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2022-06-27T18:00:00Z</dcterms:created>
  <dcterms:modified xsi:type="dcterms:W3CDTF">2022-06-27T18:00:00Z</dcterms:modified>
</cp:coreProperties>
</file>