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347242180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F7540B">
        <w:rPr>
          <w:rFonts w:ascii="Century Gothic" w:eastAsia="Calibri" w:hAnsi="Century Gothic" w:cs="Times New Roman"/>
          <w:b/>
          <w:sz w:val="24"/>
          <w:szCs w:val="24"/>
        </w:rPr>
        <w:t xml:space="preserve"> Cuarta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AB625D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7540B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F7540B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F7540B" w:rsidRPr="00B339E5" w:rsidRDefault="00F7540B" w:rsidP="00F7540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7540B" w:rsidRPr="00B339E5" w:rsidRDefault="00F7540B" w:rsidP="00F7540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7540B" w:rsidRPr="00F23F71" w:rsidRDefault="00F7540B" w:rsidP="00F7540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F23F71">
        <w:rPr>
          <w:rFonts w:ascii="Century Gothic" w:hAnsi="Century Gothic"/>
          <w:b w:val="0"/>
          <w:sz w:val="24"/>
          <w:szCs w:val="24"/>
        </w:rPr>
        <w:t>Análisis, discusión y en su caso aprobación del ejercicio de Facultad de Atracción de dos demandas de Juicio de Nulidad; y</w:t>
      </w:r>
    </w:p>
    <w:p w:rsidR="00E457E5" w:rsidRPr="00E457E5" w:rsidRDefault="00F7540B" w:rsidP="00F7540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F7540B">
        <w:rPr>
          <w:rFonts w:ascii="Century Gothic" w:eastAsia="Calibri" w:hAnsi="Century Gothic" w:cs="Times New Roman"/>
          <w:b/>
          <w:sz w:val="24"/>
          <w:szCs w:val="24"/>
        </w:rPr>
        <w:t>DIECISÉIS</w:t>
      </w:r>
      <w:bookmarkStart w:id="0" w:name="_GoBack"/>
      <w:bookmarkEnd w:id="0"/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347242180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9294360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929436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9294360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9294360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9224991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9224991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6794597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6794597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6794597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6794597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57661441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766144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57661441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7661441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7307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8072B"/>
    <w:rsid w:val="008B56EC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AB625D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7540B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B56E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6E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EEAF-C0D8-434A-BF3A-8C90F2C1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2022-08-31T18:30:00Z</dcterms:created>
  <dcterms:modified xsi:type="dcterms:W3CDTF">2022-08-31T18:30:00Z</dcterms:modified>
</cp:coreProperties>
</file>