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549393382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849B9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D76F5">
        <w:rPr>
          <w:rFonts w:ascii="Century Gothic" w:eastAsia="Calibri" w:hAnsi="Century Gothic" w:cs="Times New Roman"/>
          <w:b/>
          <w:sz w:val="24"/>
          <w:szCs w:val="24"/>
        </w:rPr>
        <w:t>Cuarta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D76F5">
        <w:rPr>
          <w:rFonts w:ascii="Century Gothic" w:eastAsia="Calibri" w:hAnsi="Century Gothic" w:cs="Times New Roman"/>
          <w:b/>
          <w:sz w:val="24"/>
          <w:szCs w:val="24"/>
        </w:rPr>
        <w:t>uno de 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9D76F5" w:rsidRPr="00B339E5" w:rsidRDefault="009D76F5" w:rsidP="009D76F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D76F5" w:rsidRDefault="009D76F5" w:rsidP="009D76F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D76F5" w:rsidRPr="00F34677" w:rsidRDefault="009D76F5" w:rsidP="009D76F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0" w:name="_Hlk152061269"/>
      <w:r w:rsidRPr="00F34677">
        <w:rPr>
          <w:rFonts w:ascii="Century Gothic" w:hAnsi="Century Gothic"/>
          <w:b w:val="0"/>
          <w:sz w:val="24"/>
          <w:szCs w:val="24"/>
        </w:rPr>
        <w:t>de</w:t>
      </w:r>
      <w:r>
        <w:rPr>
          <w:rFonts w:ascii="Century Gothic" w:hAnsi="Century Gothic"/>
          <w:b w:val="0"/>
          <w:sz w:val="24"/>
          <w:szCs w:val="24"/>
        </w:rPr>
        <w:t xml:space="preserve">l oficio 12023/2023 </w:t>
      </w:r>
      <w:r w:rsidRPr="00F3467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>Tercer Tribunal Colegiado en Materia Administrativa del Tercer Circuito, relativo al Juicio de Amparo número 159/2023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 cual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requiere a este Tribunal por el c</w:t>
      </w:r>
      <w:r>
        <w:rPr>
          <w:rFonts w:ascii="Century Gothic" w:hAnsi="Century Gothic"/>
          <w:b w:val="0"/>
          <w:sz w:val="24"/>
          <w:szCs w:val="24"/>
        </w:rPr>
        <w:t>umplimiento de la ejecutoria del juicio de amparo referido</w:t>
      </w:r>
      <w:bookmarkEnd w:id="0"/>
      <w:r w:rsidRPr="00F34677">
        <w:rPr>
          <w:rFonts w:ascii="Century Gothic" w:hAnsi="Century Gothic"/>
          <w:b w:val="0"/>
          <w:sz w:val="24"/>
          <w:szCs w:val="24"/>
        </w:rPr>
        <w:t>;</w:t>
      </w:r>
    </w:p>
    <w:p w:rsidR="009D76F5" w:rsidRDefault="009D76F5" w:rsidP="009D76F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1" w:name="_Hlk152056507"/>
      <w:r w:rsidRPr="00F34677">
        <w:rPr>
          <w:rFonts w:ascii="Century Gothic" w:hAnsi="Century Gothic"/>
          <w:b w:val="0"/>
          <w:sz w:val="24"/>
          <w:szCs w:val="24"/>
        </w:rPr>
        <w:t>discusión y en su caso aprobación del proyecto de sentencia del</w:t>
      </w:r>
      <w:r>
        <w:rPr>
          <w:rFonts w:ascii="Century Gothic" w:hAnsi="Century Gothic"/>
          <w:b w:val="0"/>
          <w:sz w:val="24"/>
          <w:szCs w:val="24"/>
        </w:rPr>
        <w:t xml:space="preserve"> expediente de Recurso de Apelación 519/2023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en cump</w:t>
      </w:r>
      <w:r>
        <w:rPr>
          <w:rFonts w:ascii="Century Gothic" w:hAnsi="Century Gothic"/>
          <w:b w:val="0"/>
          <w:sz w:val="24"/>
          <w:szCs w:val="24"/>
        </w:rPr>
        <w:t>limiento al Juicio de Amparo 159/2023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Tercer Tribunal Colegiado en Materia Administrativa del Tercer Circuito</w:t>
      </w:r>
      <w:bookmarkEnd w:id="1"/>
      <w:r w:rsidRPr="00F34677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9D76F5" w:rsidRDefault="009D76F5" w:rsidP="009D76F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</w:p>
    <w:p w:rsidR="00E457E5" w:rsidRPr="00800942" w:rsidRDefault="009D76F5" w:rsidP="009D76F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9D76F5">
        <w:rPr>
          <w:rFonts w:ascii="Century Gothic" w:eastAsia="Calibri" w:hAnsi="Century Gothic" w:cs="Times New Roman"/>
          <w:b/>
          <w:sz w:val="24"/>
          <w:szCs w:val="24"/>
        </w:rPr>
        <w:t>TREINTA Y UNO</w:t>
      </w:r>
      <w:bookmarkStart w:id="2" w:name="_GoBack"/>
      <w:bookmarkEnd w:id="2"/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549393382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48871561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48871561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48871561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488715614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693124497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693124497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7643667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67643667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7643667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67643667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31464525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31464525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31464525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31464525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D76F5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172E2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2059675E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D429-814E-4329-AA38-35F46BF1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2023-11-28T17:49:00Z</dcterms:created>
  <dcterms:modified xsi:type="dcterms:W3CDTF">2023-11-28T17:49:00Z</dcterms:modified>
</cp:coreProperties>
</file>