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71057411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D1569">
        <w:rPr>
          <w:rFonts w:ascii="Century Gothic" w:eastAsia="Calibri" w:hAnsi="Century Gothic" w:cs="Times New Roman"/>
          <w:b/>
          <w:sz w:val="24"/>
          <w:szCs w:val="24"/>
        </w:rPr>
        <w:t>Nonagésima Cuarta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F6E0B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CD1569">
        <w:rPr>
          <w:rFonts w:ascii="Century Gothic" w:eastAsia="Calibri" w:hAnsi="Century Gothic" w:cs="Times New Roman"/>
          <w:b/>
          <w:sz w:val="24"/>
          <w:szCs w:val="24"/>
        </w:rPr>
        <w:t>nueve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CD1569" w:rsidRPr="00B339E5" w:rsidRDefault="00CD1569" w:rsidP="00CD156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D1569" w:rsidRDefault="00CD1569" w:rsidP="00CD156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D1569" w:rsidRPr="00F34677" w:rsidRDefault="00CD1569" w:rsidP="00CD156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0" w:name="_Hlk152061269"/>
      <w:r w:rsidRPr="00F34677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l oficio 690/2023 </w:t>
      </w:r>
      <w:r w:rsidRPr="00F3467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Primer Tribunal Colegiado en Materia Administrativa del Tercer Circuito, relativo al Juicio de Amparo número 278/2023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 cual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requiere a este Tribunal por el c</w:t>
      </w:r>
      <w:r>
        <w:rPr>
          <w:rFonts w:ascii="Century Gothic" w:hAnsi="Century Gothic"/>
          <w:b w:val="0"/>
          <w:sz w:val="24"/>
          <w:szCs w:val="24"/>
        </w:rPr>
        <w:t>umplimiento de la ejecutoria del juicio de amparo referido</w:t>
      </w:r>
      <w:bookmarkEnd w:id="0"/>
      <w:r w:rsidRPr="00F34677">
        <w:rPr>
          <w:rFonts w:ascii="Century Gothic" w:hAnsi="Century Gothic"/>
          <w:b w:val="0"/>
          <w:sz w:val="24"/>
          <w:szCs w:val="24"/>
        </w:rPr>
        <w:t>;</w:t>
      </w:r>
    </w:p>
    <w:p w:rsidR="00CD1569" w:rsidRDefault="00CD1569" w:rsidP="00CD156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1" w:name="_Hlk152056507"/>
      <w:r w:rsidRPr="00F34677">
        <w:rPr>
          <w:rFonts w:ascii="Century Gothic" w:hAnsi="Century Gothic"/>
          <w:b w:val="0"/>
          <w:sz w:val="24"/>
          <w:szCs w:val="24"/>
        </w:rPr>
        <w:t>discusión y en su caso aprobación del proyecto de sentencia del</w:t>
      </w:r>
      <w:r>
        <w:rPr>
          <w:rFonts w:ascii="Century Gothic" w:hAnsi="Century Gothic"/>
          <w:b w:val="0"/>
          <w:sz w:val="24"/>
          <w:szCs w:val="24"/>
        </w:rPr>
        <w:t xml:space="preserve"> expediente de Recurso de Reclamación 1164/2023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en cump</w:t>
      </w:r>
      <w:r>
        <w:rPr>
          <w:rFonts w:ascii="Century Gothic" w:hAnsi="Century Gothic"/>
          <w:b w:val="0"/>
          <w:sz w:val="24"/>
          <w:szCs w:val="24"/>
        </w:rPr>
        <w:t>limiento al Juicio de Amparo 278/2023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Primer</w:t>
      </w:r>
      <w:r w:rsidRPr="00CC0792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bookmarkEnd w:id="1"/>
      <w:r w:rsidRPr="00CC0792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 </w:t>
      </w:r>
    </w:p>
    <w:p w:rsidR="00E457E5" w:rsidRPr="00800942" w:rsidRDefault="00CD1569" w:rsidP="00CD156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CD1569">
        <w:rPr>
          <w:rFonts w:ascii="Century Gothic" w:eastAsia="Calibri" w:hAnsi="Century Gothic" w:cs="Times New Roman"/>
          <w:b/>
          <w:sz w:val="24"/>
          <w:szCs w:val="24"/>
        </w:rPr>
        <w:t>VEINTIOCHO</w:t>
      </w:r>
      <w:r w:rsidR="00EE31AA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2" w:name="_GoBack"/>
      <w:bookmarkEnd w:id="2"/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71057411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5486567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5486567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5486567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5486567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77643373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77643373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28040139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28040139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28040139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28040139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93619838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93619838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93619838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93619838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D1569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0D84A11A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10C5-2761-4C9A-8FE9-9C6EE446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2023-12-12T16:22:00Z</dcterms:created>
  <dcterms:modified xsi:type="dcterms:W3CDTF">2023-12-12T16:22:00Z</dcterms:modified>
</cp:coreProperties>
</file>