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7CE926F0"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B35EFE">
        <w:rPr>
          <w:rFonts w:ascii="Century Gothic" w:eastAsia="Times New Roman" w:hAnsi="Century Gothic"/>
          <w:lang w:eastAsia="ar-SA"/>
        </w:rPr>
        <w:t>1</w:t>
      </w:r>
      <w:r w:rsidR="004B3152">
        <w:rPr>
          <w:rFonts w:ascii="Century Gothic" w:eastAsia="Times New Roman" w:hAnsi="Century Gothic"/>
          <w:lang w:eastAsia="ar-SA"/>
        </w:rPr>
        <w:t>2</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Jurisprudencia</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59D154D1" w:rsidR="006D54F0" w:rsidRDefault="006D54F0" w:rsidP="006D54F0">
      <w:pPr>
        <w:tabs>
          <w:tab w:val="left" w:pos="3038"/>
        </w:tabs>
        <w:spacing w:line="360" w:lineRule="auto"/>
        <w:ind w:left="-567" w:right="1175"/>
        <w:jc w:val="right"/>
        <w:rPr>
          <w:rFonts w:ascii="Century Gothic" w:hAnsi="Century Gothic"/>
          <w:b/>
        </w:rPr>
      </w:pPr>
      <w:r w:rsidRPr="004B4F4A">
        <w:rPr>
          <w:rFonts w:ascii="Century Gothic" w:hAnsi="Century Gothic"/>
          <w:b/>
          <w:szCs w:val="18"/>
        </w:rPr>
        <w:t>Materia: Administrativa</w:t>
      </w:r>
    </w:p>
    <w:p w14:paraId="47C28F23" w14:textId="77777777" w:rsidR="006D54F0" w:rsidRDefault="006D54F0" w:rsidP="005809E1">
      <w:pPr>
        <w:widowControl/>
        <w:ind w:left="-567" w:right="-233"/>
        <w:jc w:val="both"/>
        <w:rPr>
          <w:rFonts w:ascii="Century Gothic" w:eastAsia="Times New Roman" w:hAnsi="Century Gothic"/>
          <w:b/>
          <w:bCs/>
          <w:kern w:val="0"/>
          <w:szCs w:val="18"/>
          <w:lang w:eastAsia="ar-SA"/>
        </w:rPr>
      </w:pPr>
    </w:p>
    <w:p w14:paraId="7A8A90FC" w14:textId="43F40FC4" w:rsidR="004B3152" w:rsidRPr="004B3152" w:rsidRDefault="004B3152" w:rsidP="004B3152">
      <w:pPr>
        <w:ind w:left="-567" w:right="-233"/>
        <w:jc w:val="both"/>
        <w:rPr>
          <w:rFonts w:ascii="Century Gothic" w:eastAsia="Times New Roman" w:hAnsi="Century Gothic"/>
          <w:bCs/>
          <w:kern w:val="0"/>
          <w:lang w:eastAsia="ar-SA"/>
        </w:rPr>
      </w:pPr>
      <w:r w:rsidRPr="004B3152">
        <w:rPr>
          <w:rFonts w:ascii="Century Gothic" w:eastAsia="Times New Roman" w:hAnsi="Century Gothic"/>
          <w:b/>
          <w:kern w:val="0"/>
          <w:lang w:eastAsia="ar-SA"/>
        </w:rPr>
        <w:t>V</w:t>
      </w:r>
      <w:r w:rsidRPr="004B3152">
        <w:rPr>
          <w:rFonts w:ascii="Century Gothic" w:eastAsia="Times New Roman" w:hAnsi="Century Gothic"/>
          <w:b/>
          <w:bCs/>
          <w:kern w:val="0"/>
          <w:lang w:eastAsia="ar-SA"/>
        </w:rPr>
        <w:t xml:space="preserve">ERIFICACIÓN DE LA IDENTIDAD DEL FIRMANTE DE LA DEMANDA EN EL JUICIO EN LÍNEA. CONSTITUYE UN CUESTIONAMIENTO OFICIOSO SOBRE LA LEGITIMIDAD DE LA FIRMA Y UN COTEJO MATERIAL PROSCRITOS POR LA JURISPRUDENCIA DE LA SALA SUPERIOR. </w:t>
      </w:r>
      <w:r w:rsidRPr="004B3152">
        <w:rPr>
          <w:rFonts w:ascii="Century Gothic" w:eastAsia="Times New Roman" w:hAnsi="Century Gothic"/>
          <w:bCs/>
          <w:kern w:val="0"/>
          <w:lang w:eastAsia="ar-SA"/>
        </w:rPr>
        <w:t xml:space="preserve">Es incorrecto sostener que el requerimiento formulado al promovente para que exhiba una identificación oficial que incluya su firma verifica una cuestión distinta de la autenticidad de la firma plasmada en la demanda, bajo el argumento de que únicamente constata la identidad del firmante y su correspondencia con el promovente, ya que la falsedad de una firma consiste, precisamente, en que no proviene de quien ostenta ser su autor, por lo que indagar quién la estampó equivale a cuestionar su legitimidad, materia sobre la cual la jurisprudencia de este Tribunal proscribe los cuestionamientos oficiosos nacidos del fuero interno del juzgador. Además, la inaplicación de un criterio obligatorio por vía de distinción exige identificar una diferencia fáctica que sitúe el caso fuera de su supuesto y que resulte relevante para su razón de decidir, sin que la mera </w:t>
      </w:r>
      <w:proofErr w:type="spellStart"/>
      <w:r w:rsidRPr="004B3152">
        <w:rPr>
          <w:rFonts w:ascii="Century Gothic" w:eastAsia="Times New Roman" w:hAnsi="Century Gothic"/>
          <w:bCs/>
          <w:kern w:val="0"/>
          <w:lang w:eastAsia="ar-SA"/>
        </w:rPr>
        <w:t>redescripción</w:t>
      </w:r>
      <w:proofErr w:type="spellEnd"/>
      <w:r w:rsidRPr="004B3152">
        <w:rPr>
          <w:rFonts w:ascii="Century Gothic" w:eastAsia="Times New Roman" w:hAnsi="Century Gothic"/>
          <w:bCs/>
          <w:kern w:val="0"/>
          <w:lang w:eastAsia="ar-SA"/>
        </w:rPr>
        <w:t xml:space="preserve"> del propósito de la medida constituya un hecho diferencial, ya que admitir esa técnica permitiría reeditar indefinidamente, bajo etiquetas nuevas, las conductas proscritas, privando de función normativa a los criterios obligatorios. Sin que se pase por alto que, cuando la medida exige que el documento de identidad incluya la firma de su titular y anuncia consecuencias ante las discrepancias que se adviertan entre ésta y la asentada en la demanda, su ejecución supone comparar ambas grafías, operación que materialmente constituye un cotejo, cualquiera que sea el instrumento empleado para realizarlo.</w:t>
      </w:r>
    </w:p>
    <w:p w14:paraId="30E91AA5" w14:textId="77777777" w:rsidR="004B3152" w:rsidRPr="004B3152" w:rsidRDefault="004B3152" w:rsidP="004B3152">
      <w:pPr>
        <w:widowControl/>
        <w:ind w:left="-567" w:right="-233"/>
        <w:jc w:val="both"/>
        <w:rPr>
          <w:rFonts w:ascii="Century Gothic" w:eastAsia="Times New Roman" w:hAnsi="Century Gothic"/>
          <w:bCs/>
          <w:kern w:val="0"/>
          <w:lang w:eastAsia="ar-SA"/>
        </w:rPr>
      </w:pPr>
    </w:p>
    <w:p w14:paraId="79AFF298" w14:textId="77777777" w:rsidR="004B3152" w:rsidRPr="004B3152" w:rsidRDefault="004B3152" w:rsidP="004B3152">
      <w:pPr>
        <w:widowControl/>
        <w:ind w:left="-567" w:right="-233"/>
        <w:jc w:val="both"/>
        <w:rPr>
          <w:rFonts w:ascii="Century Gothic" w:eastAsia="Times New Roman" w:hAnsi="Century Gothic"/>
          <w:b/>
          <w:kern w:val="0"/>
          <w:lang w:eastAsia="ar-SA"/>
        </w:rPr>
      </w:pPr>
      <w:r w:rsidRPr="004B3152">
        <w:rPr>
          <w:rFonts w:ascii="Century Gothic" w:eastAsia="Times New Roman" w:hAnsi="Century Gothic"/>
          <w:b/>
          <w:kern w:val="0"/>
          <w:lang w:eastAsia="ar-SA"/>
        </w:rPr>
        <w:t>PRECEDENTES:</w:t>
      </w:r>
    </w:p>
    <w:p w14:paraId="6DFABC6F" w14:textId="77777777" w:rsidR="004B3152" w:rsidRPr="004B3152" w:rsidRDefault="004B3152" w:rsidP="004B3152">
      <w:pPr>
        <w:widowControl/>
        <w:ind w:left="-567" w:right="-233"/>
        <w:jc w:val="both"/>
        <w:rPr>
          <w:rFonts w:ascii="Century Gothic" w:eastAsia="Times New Roman" w:hAnsi="Century Gothic"/>
          <w:bCs/>
          <w:kern w:val="0"/>
          <w:lang w:eastAsia="ar-SA"/>
        </w:rPr>
      </w:pPr>
    </w:p>
    <w:p w14:paraId="471BDB0C" w14:textId="77777777" w:rsidR="004B3152" w:rsidRPr="004B3152" w:rsidRDefault="004B3152" w:rsidP="004B3152">
      <w:pPr>
        <w:widowControl/>
        <w:ind w:left="-567" w:right="-233"/>
        <w:jc w:val="both"/>
        <w:rPr>
          <w:rFonts w:ascii="Century Gothic" w:eastAsia="Times New Roman" w:hAnsi="Century Gothic"/>
          <w:bCs/>
          <w:kern w:val="0"/>
          <w:lang w:eastAsia="ar-SA"/>
        </w:rPr>
      </w:pPr>
      <w:r w:rsidRPr="004B3152">
        <w:rPr>
          <w:rFonts w:ascii="Century Gothic" w:eastAsia="Times New Roman" w:hAnsi="Century Gothic"/>
          <w:bCs/>
          <w:kern w:val="0"/>
          <w:lang w:eastAsia="ar-SA"/>
        </w:rPr>
        <w:t xml:space="preserve">Recurso de Reclamación Núm. 1524/2026. Resuelto por la Sala Superior del Tribunal de Justicia Administrativa del Estado de Jalisco, en sesión de 02 de septiembre de 2026, por unanimidad de votos. Magistrado Ponente: José Ramón Jiménez Gutiérrez. Secretario: Eduardo </w:t>
      </w:r>
      <w:proofErr w:type="spellStart"/>
      <w:r w:rsidRPr="004B3152">
        <w:rPr>
          <w:rFonts w:ascii="Century Gothic" w:eastAsia="Times New Roman" w:hAnsi="Century Gothic"/>
          <w:bCs/>
          <w:kern w:val="0"/>
          <w:lang w:eastAsia="ar-SA"/>
        </w:rPr>
        <w:t>Rafols</w:t>
      </w:r>
      <w:proofErr w:type="spellEnd"/>
      <w:r w:rsidRPr="004B3152">
        <w:rPr>
          <w:rFonts w:ascii="Century Gothic" w:eastAsia="Times New Roman" w:hAnsi="Century Gothic"/>
          <w:bCs/>
          <w:kern w:val="0"/>
          <w:lang w:eastAsia="ar-SA"/>
        </w:rPr>
        <w:t xml:space="preserve"> Pérez.</w:t>
      </w:r>
    </w:p>
    <w:p w14:paraId="12AF246B" w14:textId="77777777" w:rsidR="004B3152" w:rsidRPr="004B3152" w:rsidRDefault="004B3152" w:rsidP="004B3152">
      <w:pPr>
        <w:widowControl/>
        <w:ind w:left="-567" w:right="-233"/>
        <w:jc w:val="both"/>
        <w:rPr>
          <w:rFonts w:ascii="Century Gothic" w:eastAsia="Times New Roman" w:hAnsi="Century Gothic"/>
          <w:bCs/>
          <w:kern w:val="0"/>
          <w:lang w:eastAsia="ar-SA"/>
        </w:rPr>
      </w:pPr>
    </w:p>
    <w:p w14:paraId="6414D42B" w14:textId="77777777" w:rsidR="004B3152" w:rsidRPr="004B3152" w:rsidRDefault="004B3152" w:rsidP="004B3152">
      <w:pPr>
        <w:widowControl/>
        <w:ind w:left="-567" w:right="-233"/>
        <w:jc w:val="both"/>
        <w:rPr>
          <w:rFonts w:ascii="Century Gothic" w:eastAsia="Times New Roman" w:hAnsi="Century Gothic"/>
          <w:bCs/>
          <w:kern w:val="0"/>
          <w:lang w:eastAsia="ar-SA"/>
        </w:rPr>
      </w:pPr>
      <w:r w:rsidRPr="004B3152">
        <w:rPr>
          <w:rFonts w:ascii="Century Gothic" w:eastAsia="Times New Roman" w:hAnsi="Century Gothic"/>
          <w:bCs/>
          <w:kern w:val="0"/>
          <w:lang w:eastAsia="ar-SA"/>
        </w:rPr>
        <w:t xml:space="preserve">Recurso de Reclamación Núm. 1526/2026. Resuelto por la Sala Superior del Tribunal de Justicia Administrativa del Estado de Jalisco, en sesión de 02 de septiembre de 2026, por unanimidad de votos. Magistrado Ponente: José Ramón Jiménez Gutiérrez. Secretario: Eduardo </w:t>
      </w:r>
      <w:proofErr w:type="spellStart"/>
      <w:r w:rsidRPr="004B3152">
        <w:rPr>
          <w:rFonts w:ascii="Century Gothic" w:eastAsia="Times New Roman" w:hAnsi="Century Gothic"/>
          <w:bCs/>
          <w:kern w:val="0"/>
          <w:lang w:eastAsia="ar-SA"/>
        </w:rPr>
        <w:t>Rafols</w:t>
      </w:r>
      <w:proofErr w:type="spellEnd"/>
      <w:r w:rsidRPr="004B3152">
        <w:rPr>
          <w:rFonts w:ascii="Century Gothic" w:eastAsia="Times New Roman" w:hAnsi="Century Gothic"/>
          <w:bCs/>
          <w:kern w:val="0"/>
          <w:lang w:eastAsia="ar-SA"/>
        </w:rPr>
        <w:t xml:space="preserve"> Pérez.</w:t>
      </w:r>
    </w:p>
    <w:p w14:paraId="0E1C5169" w14:textId="77777777" w:rsidR="004B3152" w:rsidRPr="004B3152" w:rsidRDefault="004B3152" w:rsidP="004B3152">
      <w:pPr>
        <w:widowControl/>
        <w:ind w:left="-567" w:right="-233"/>
        <w:jc w:val="both"/>
        <w:rPr>
          <w:rFonts w:ascii="Century Gothic" w:eastAsia="Times New Roman" w:hAnsi="Century Gothic"/>
          <w:bCs/>
          <w:kern w:val="0"/>
          <w:lang w:eastAsia="ar-SA"/>
        </w:rPr>
      </w:pPr>
    </w:p>
    <w:p w14:paraId="6F6BF02D" w14:textId="77777777" w:rsidR="004B3152" w:rsidRPr="004B3152" w:rsidRDefault="004B3152" w:rsidP="004B3152">
      <w:pPr>
        <w:widowControl/>
        <w:ind w:left="-567" w:right="-233"/>
        <w:jc w:val="both"/>
        <w:rPr>
          <w:rFonts w:ascii="Century Gothic" w:eastAsia="Times New Roman" w:hAnsi="Century Gothic"/>
          <w:bCs/>
          <w:kern w:val="0"/>
          <w:lang w:eastAsia="ar-SA"/>
        </w:rPr>
      </w:pPr>
      <w:r w:rsidRPr="004B3152">
        <w:rPr>
          <w:rFonts w:ascii="Century Gothic" w:eastAsia="Times New Roman" w:hAnsi="Century Gothic"/>
          <w:bCs/>
          <w:kern w:val="0"/>
          <w:lang w:eastAsia="ar-SA"/>
        </w:rPr>
        <w:t xml:space="preserve">Recurso de Reclamación Núm. 1567/2026. Resuelto por la Sala Superior del Tribunal de Justicia Administrativa del Estado de Jalisco, en sesión de 02 de septiembre de 2026, por unanimidad de votos. Magistrado Ponente: José Ramón Jiménez Gutiérrez. Secretario: Eduardo </w:t>
      </w:r>
      <w:proofErr w:type="spellStart"/>
      <w:r w:rsidRPr="004B3152">
        <w:rPr>
          <w:rFonts w:ascii="Century Gothic" w:eastAsia="Times New Roman" w:hAnsi="Century Gothic"/>
          <w:bCs/>
          <w:kern w:val="0"/>
          <w:lang w:eastAsia="ar-SA"/>
        </w:rPr>
        <w:t>Rafols</w:t>
      </w:r>
      <w:proofErr w:type="spellEnd"/>
      <w:r w:rsidRPr="004B3152">
        <w:rPr>
          <w:rFonts w:ascii="Century Gothic" w:eastAsia="Times New Roman" w:hAnsi="Century Gothic"/>
          <w:bCs/>
          <w:kern w:val="0"/>
          <w:lang w:eastAsia="ar-SA"/>
        </w:rPr>
        <w:t xml:space="preserve"> Pérez.</w:t>
      </w:r>
    </w:p>
    <w:p w14:paraId="1AE9CFAF" w14:textId="77777777" w:rsidR="004B3152" w:rsidRPr="004B3152" w:rsidRDefault="004B3152" w:rsidP="004B3152">
      <w:pPr>
        <w:widowControl/>
        <w:ind w:left="-567" w:right="-233"/>
        <w:jc w:val="both"/>
        <w:rPr>
          <w:rFonts w:ascii="Century Gothic" w:eastAsia="Times New Roman" w:hAnsi="Century Gothic"/>
          <w:bCs/>
          <w:kern w:val="0"/>
          <w:lang w:eastAsia="ar-SA"/>
        </w:rPr>
      </w:pPr>
    </w:p>
    <w:p w14:paraId="16D11E41" w14:textId="77777777" w:rsidR="004B3152" w:rsidRPr="004B3152" w:rsidRDefault="004B3152" w:rsidP="004B3152">
      <w:pPr>
        <w:widowControl/>
        <w:ind w:left="-567" w:right="-233"/>
        <w:jc w:val="both"/>
        <w:rPr>
          <w:rFonts w:ascii="Century Gothic" w:eastAsia="Times New Roman" w:hAnsi="Century Gothic"/>
          <w:bCs/>
          <w:kern w:val="0"/>
          <w:lang w:eastAsia="ar-SA"/>
        </w:rPr>
      </w:pPr>
      <w:r w:rsidRPr="004B3152">
        <w:rPr>
          <w:rFonts w:ascii="Century Gothic" w:eastAsia="Times New Roman" w:hAnsi="Century Gothic"/>
          <w:bCs/>
          <w:kern w:val="0"/>
          <w:lang w:eastAsia="ar-SA"/>
        </w:rPr>
        <w:t>Recurso de Reclamación Núm. 1572/2026. Resuelto por la Sala Superior del Tribunal de Justicia Administrativa del Estado de Jalisco, en sesión de 02 de septiembre de 2026, por unanimidad de votos. Magistrado Ponente: José Ramón Jiménez Gutiérrez. Secretario: Ulises Omar Ayala Espinosa.</w:t>
      </w:r>
    </w:p>
    <w:p w14:paraId="6F82677F" w14:textId="77777777" w:rsidR="004B3152" w:rsidRPr="004B3152" w:rsidRDefault="004B3152" w:rsidP="004B3152">
      <w:pPr>
        <w:widowControl/>
        <w:ind w:left="-567" w:right="-233"/>
        <w:jc w:val="both"/>
        <w:rPr>
          <w:rFonts w:ascii="Century Gothic" w:eastAsia="Times New Roman" w:hAnsi="Century Gothic"/>
          <w:bCs/>
          <w:kern w:val="0"/>
          <w:lang w:eastAsia="ar-SA"/>
        </w:rPr>
      </w:pPr>
    </w:p>
    <w:p w14:paraId="78C962B4" w14:textId="77777777" w:rsidR="004B3152" w:rsidRPr="004B3152" w:rsidRDefault="004B3152" w:rsidP="004B3152">
      <w:pPr>
        <w:widowControl/>
        <w:ind w:left="-567" w:right="-233"/>
        <w:jc w:val="both"/>
        <w:rPr>
          <w:rFonts w:ascii="Century Gothic" w:eastAsia="Times New Roman" w:hAnsi="Century Gothic"/>
          <w:bCs/>
          <w:kern w:val="0"/>
          <w:lang w:eastAsia="ar-SA"/>
        </w:rPr>
      </w:pPr>
      <w:r w:rsidRPr="004B3152">
        <w:rPr>
          <w:rFonts w:ascii="Century Gothic" w:eastAsia="Times New Roman" w:hAnsi="Century Gothic"/>
          <w:bCs/>
          <w:kern w:val="0"/>
          <w:lang w:eastAsia="ar-SA"/>
        </w:rPr>
        <w:t xml:space="preserve">Recurso de Reclamación Núm. 1594/2026. Resuelto por la Sala Superior del Tribunal de Justicia Administrativa del Estado de Jalisco, en sesión de 02 de septiembre de 2026, por unanimidad de votos. Magistrado Ponente: José Ramón Jiménez Gutiérrez. </w:t>
      </w:r>
    </w:p>
    <w:p w14:paraId="2BCD8E68" w14:textId="60DC7F10" w:rsidR="005809E1" w:rsidRPr="005809E1" w:rsidRDefault="005809E1" w:rsidP="005809E1">
      <w:pPr>
        <w:widowControl/>
        <w:ind w:left="-567" w:right="-233"/>
        <w:jc w:val="both"/>
        <w:rPr>
          <w:rFonts w:ascii="Century Gothic" w:eastAsia="Times New Roman" w:hAnsi="Century Gothic"/>
          <w:bCs/>
          <w:kern w:val="0"/>
          <w:lang w:eastAsia="ar-SA"/>
        </w:rPr>
      </w:pPr>
    </w:p>
    <w:sectPr w:rsidR="005809E1" w:rsidRPr="005809E1" w:rsidSect="000C6BCD">
      <w:pgSz w:w="12242" w:h="20163" w:code="5"/>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330432"/>
    <w:rsid w:val="004B3152"/>
    <w:rsid w:val="00530C61"/>
    <w:rsid w:val="005809E1"/>
    <w:rsid w:val="006D2F47"/>
    <w:rsid w:val="006D54F0"/>
    <w:rsid w:val="00956A80"/>
    <w:rsid w:val="009808D4"/>
    <w:rsid w:val="00AB6268"/>
    <w:rsid w:val="00AD5253"/>
    <w:rsid w:val="00B35EFE"/>
    <w:rsid w:val="00B42772"/>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493</Words>
  <Characters>2712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3</cp:revision>
  <cp:lastPrinted>2026-09-28T18:00:00Z</cp:lastPrinted>
  <dcterms:created xsi:type="dcterms:W3CDTF">2026-09-28T18:00:00Z</dcterms:created>
  <dcterms:modified xsi:type="dcterms:W3CDTF">2026-09-28T18:03:00Z</dcterms:modified>
</cp:coreProperties>
</file>