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E86F" w14:textId="77777777" w:rsidR="000C6BCD" w:rsidRPr="005F264E" w:rsidRDefault="000C6BCD" w:rsidP="009808D4">
      <w:pPr>
        <w:tabs>
          <w:tab w:val="left" w:pos="3038"/>
        </w:tabs>
        <w:ind w:left="-567" w:right="-799"/>
        <w:jc w:val="both"/>
        <w:rPr>
          <w:rFonts w:ascii="Century Gothic" w:eastAsia="Times New Roman" w:hAnsi="Century Gothic" w:cs="Arial"/>
          <w:b/>
          <w:kern w:val="0"/>
          <w:lang w:eastAsia="ar-SA"/>
        </w:rPr>
      </w:pPr>
      <w:r w:rsidRPr="005F264E">
        <w:rPr>
          <w:rFonts w:ascii="Century Gothic" w:eastAsia="Times New Roman" w:hAnsi="Century Gothic" w:cs="Arial"/>
          <w:b/>
          <w:lang w:eastAsia="ar-SA"/>
        </w:rPr>
        <w:t xml:space="preserve">SEGUNDA ÉPOCA </w:t>
      </w:r>
    </w:p>
    <w:p w14:paraId="678BAF08" w14:textId="07120BC8" w:rsidR="000C6BCD" w:rsidRPr="005F264E" w:rsidRDefault="000C6BCD" w:rsidP="009808D4">
      <w:pPr>
        <w:tabs>
          <w:tab w:val="left" w:pos="3038"/>
          <w:tab w:val="left" w:pos="6946"/>
        </w:tabs>
        <w:ind w:left="-567" w:right="-799"/>
        <w:jc w:val="both"/>
        <w:rPr>
          <w:rFonts w:ascii="Century Gothic" w:eastAsia="Times New Roman" w:hAnsi="Century Gothic"/>
          <w:sz w:val="22"/>
          <w:szCs w:val="22"/>
          <w:lang w:eastAsia="ar-SA"/>
        </w:rPr>
      </w:pPr>
      <w:r w:rsidRPr="005F264E">
        <w:rPr>
          <w:rFonts w:ascii="Century Gothic" w:eastAsia="Times New Roman" w:hAnsi="Century Gothic"/>
          <w:lang w:eastAsia="ar-SA"/>
        </w:rPr>
        <w:t xml:space="preserve">Número de Registro </w:t>
      </w:r>
      <w:r w:rsidR="003179F3">
        <w:rPr>
          <w:rFonts w:ascii="Century Gothic" w:eastAsia="Times New Roman" w:hAnsi="Century Gothic"/>
          <w:lang w:eastAsia="ar-SA"/>
        </w:rPr>
        <w:t>2</w:t>
      </w:r>
      <w:r w:rsidRPr="005F264E">
        <w:rPr>
          <w:rFonts w:ascii="Century Gothic" w:eastAsia="Times New Roman" w:hAnsi="Century Gothic"/>
          <w:lang w:eastAsia="ar-SA"/>
        </w:rPr>
        <w:t>/1</w:t>
      </w:r>
      <w:r w:rsidR="006D54F0">
        <w:rPr>
          <w:rFonts w:ascii="Century Gothic" w:eastAsia="Times New Roman" w:hAnsi="Century Gothic"/>
          <w:lang w:eastAsia="ar-SA"/>
        </w:rPr>
        <w:t>6</w:t>
      </w:r>
      <w:r w:rsidRPr="005F264E">
        <w:rPr>
          <w:rFonts w:ascii="Century Gothic" w:eastAsia="Times New Roman" w:hAnsi="Century Gothic"/>
          <w:lang w:eastAsia="ar-SA"/>
        </w:rPr>
        <w:t>ORD/SS/JA</w:t>
      </w:r>
    </w:p>
    <w:p w14:paraId="74C6B566" w14:textId="1A8D0DCC" w:rsidR="000C6BCD" w:rsidRPr="005F264E" w:rsidRDefault="00206855" w:rsidP="009808D4">
      <w:pPr>
        <w:tabs>
          <w:tab w:val="left" w:pos="3038"/>
          <w:tab w:val="left" w:pos="6946"/>
        </w:tabs>
        <w:ind w:left="-567" w:right="-799"/>
        <w:jc w:val="both"/>
        <w:rPr>
          <w:rFonts w:ascii="Century Gothic" w:eastAsia="Times New Roman" w:hAnsi="Century Gothic"/>
          <w:lang w:eastAsia="ar-SA"/>
        </w:rPr>
      </w:pPr>
      <w:r>
        <w:rPr>
          <w:rFonts w:ascii="Century Gothic" w:eastAsia="Times New Roman" w:hAnsi="Century Gothic"/>
          <w:lang w:eastAsia="ar-SA"/>
        </w:rPr>
        <w:t>PRECEDENTE</w:t>
      </w:r>
    </w:p>
    <w:p w14:paraId="0629EEB0"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Tomo I 2026</w:t>
      </w:r>
    </w:p>
    <w:p w14:paraId="6F1B711A" w14:textId="3DC1922B" w:rsidR="006D54F0" w:rsidRDefault="00206855" w:rsidP="00206855">
      <w:pPr>
        <w:tabs>
          <w:tab w:val="left" w:pos="3038"/>
        </w:tabs>
        <w:spacing w:line="360" w:lineRule="auto"/>
        <w:ind w:left="-567" w:right="50"/>
        <w:jc w:val="right"/>
        <w:rPr>
          <w:rFonts w:ascii="Century Gothic" w:hAnsi="Century Gothic"/>
          <w:b/>
        </w:rPr>
      </w:pPr>
      <w:r>
        <w:rPr>
          <w:rFonts w:ascii="Century Gothic" w:hAnsi="Century Gothic"/>
          <w:b/>
          <w:szCs w:val="18"/>
        </w:rPr>
        <w:tab/>
        <w:t xml:space="preserve">  </w:t>
      </w:r>
      <w:r w:rsidR="006D54F0" w:rsidRPr="004B4F4A">
        <w:rPr>
          <w:rFonts w:ascii="Century Gothic" w:hAnsi="Century Gothic"/>
          <w:b/>
          <w:szCs w:val="18"/>
        </w:rPr>
        <w:t xml:space="preserve">Materia: </w:t>
      </w:r>
      <w:r>
        <w:rPr>
          <w:rFonts w:ascii="Century Gothic" w:hAnsi="Century Gothic"/>
          <w:b/>
          <w:szCs w:val="18"/>
        </w:rPr>
        <w:t xml:space="preserve">Responsabilidad </w:t>
      </w:r>
      <w:r w:rsidR="006D54F0" w:rsidRPr="004B4F4A">
        <w:rPr>
          <w:rFonts w:ascii="Century Gothic" w:hAnsi="Century Gothic"/>
          <w:b/>
          <w:szCs w:val="18"/>
        </w:rPr>
        <w:t>Administrativa</w:t>
      </w:r>
    </w:p>
    <w:p w14:paraId="47C28F23" w14:textId="77777777" w:rsidR="006D54F0" w:rsidRDefault="006D54F0" w:rsidP="005809E1">
      <w:pPr>
        <w:widowControl/>
        <w:ind w:left="-567" w:right="-233"/>
        <w:jc w:val="both"/>
        <w:rPr>
          <w:rFonts w:ascii="Century Gothic" w:eastAsia="Times New Roman" w:hAnsi="Century Gothic"/>
          <w:b/>
          <w:bCs/>
          <w:kern w:val="0"/>
          <w:szCs w:val="18"/>
          <w:lang w:eastAsia="ar-SA"/>
        </w:rPr>
      </w:pPr>
    </w:p>
    <w:p w14:paraId="3943A524" w14:textId="77777777" w:rsidR="00DD6D34" w:rsidRDefault="00DD6D34" w:rsidP="00DD6D34">
      <w:pPr>
        <w:widowControl/>
        <w:ind w:left="-567" w:right="-233"/>
        <w:jc w:val="both"/>
        <w:rPr>
          <w:rFonts w:ascii="Century Gothic" w:eastAsia="Times New Roman" w:hAnsi="Century Gothic" w:cs="Arial"/>
          <w:b/>
          <w:bCs/>
          <w:kern w:val="0"/>
          <w:lang w:eastAsia="ar-SA"/>
        </w:rPr>
      </w:pPr>
    </w:p>
    <w:p w14:paraId="2992C479" w14:textId="01F54423" w:rsidR="00DD6D34" w:rsidRPr="00DD6D34" w:rsidRDefault="00DD6D34" w:rsidP="00DD6D34">
      <w:pPr>
        <w:widowControl/>
        <w:ind w:left="-567" w:right="-233"/>
        <w:jc w:val="both"/>
        <w:rPr>
          <w:rFonts w:ascii="Century Gothic" w:eastAsia="Times New Roman" w:hAnsi="Century Gothic" w:cs="Arial"/>
          <w:b/>
          <w:kern w:val="0"/>
          <w:lang w:eastAsia="ar-SA"/>
        </w:rPr>
      </w:pPr>
      <w:r w:rsidRPr="00DD6D34">
        <w:rPr>
          <w:rFonts w:ascii="Century Gothic" w:eastAsia="Times New Roman" w:hAnsi="Century Gothic" w:cs="Arial"/>
          <w:b/>
          <w:bCs/>
          <w:kern w:val="0"/>
          <w:lang w:eastAsia="ar-SA"/>
        </w:rPr>
        <w:t>DESVÍO DE RECURSOS PÚBLICOS, LOS TRASPASOS DE VALORES ENTRE CUENTAS DEL PROPIO ENTE PÚBLICO NO COLMAN EL ELEMENTO DE FINALIDAD DE ESA FALTA GRAVE</w:t>
      </w:r>
      <w:r w:rsidRPr="00DD6D34">
        <w:rPr>
          <w:rFonts w:ascii="Century Gothic" w:eastAsia="Times New Roman" w:hAnsi="Century Gothic" w:cs="Arial"/>
          <w:b/>
          <w:kern w:val="0"/>
          <w:lang w:eastAsia="ar-SA"/>
        </w:rPr>
        <w:t xml:space="preserve">. </w:t>
      </w:r>
      <w:r w:rsidRPr="00DD6D34">
        <w:rPr>
          <w:rFonts w:ascii="Century Gothic" w:eastAsia="Times New Roman" w:hAnsi="Century Gothic" w:cs="Arial"/>
          <w:bCs/>
          <w:kern w:val="0"/>
          <w:lang w:eastAsia="ar-SA"/>
        </w:rPr>
        <w:t xml:space="preserve">El tipo previsto en el artículo 54 de la Ley General de Responsabilidades Administrativas exige, además del carácter de servidor público del infractor y de la realización de una conducta consistente en autorizar, solicitar o realizar algún acto, que dicha conducta se encuentre encaminada a la asignación o desvío de recursos públicos, lo cual constituye el elemento de finalidad de la falta grave. En estas condiciones, cuando la conducta imputada consiste en el registro contable de traspasos de valores efectuados de un fideicomiso del que el propio ente público es fideicomitente y fideicomisario, hacia una cuenta de intermediación abierta a nombre del mismo ente, se está en presencia de movimientos de custodia </w:t>
      </w:r>
      <w:proofErr w:type="spellStart"/>
      <w:r w:rsidRPr="00DD6D34">
        <w:rPr>
          <w:rFonts w:ascii="Century Gothic" w:eastAsia="Times New Roman" w:hAnsi="Century Gothic" w:cs="Arial"/>
          <w:bCs/>
          <w:kern w:val="0"/>
          <w:lang w:eastAsia="ar-SA"/>
        </w:rPr>
        <w:t>intrapatrimoniales</w:t>
      </w:r>
      <w:proofErr w:type="spellEnd"/>
      <w:r w:rsidRPr="00DD6D34">
        <w:rPr>
          <w:rFonts w:ascii="Century Gothic" w:eastAsia="Times New Roman" w:hAnsi="Century Gothic" w:cs="Arial"/>
          <w:bCs/>
          <w:kern w:val="0"/>
          <w:lang w:eastAsia="ar-SA"/>
        </w:rPr>
        <w:t xml:space="preserve"> que no documentan disposición alguna de recursos en favor de terceros ni su aplicación a un destino distinto del que legalmente les corresponde; por lo que tales movimientos, aun cuando adolezcan de deficiencias en su soporte documental, no colman el elemento de finalidad del tipo y, en consecuencia, no puede tenerse por actualizada la falta grave de desvío de recursos públicos.</w:t>
      </w:r>
    </w:p>
    <w:p w14:paraId="7E882082" w14:textId="77777777" w:rsidR="00DD6D34" w:rsidRPr="00DD6D34" w:rsidRDefault="00DD6D34" w:rsidP="00DD6D34">
      <w:pPr>
        <w:widowControl/>
        <w:ind w:left="-567" w:right="-233"/>
        <w:jc w:val="both"/>
        <w:rPr>
          <w:rFonts w:ascii="Century Gothic" w:eastAsia="Times New Roman" w:hAnsi="Century Gothic" w:cs="Arial"/>
          <w:b/>
          <w:kern w:val="0"/>
          <w:lang w:eastAsia="ar-SA"/>
        </w:rPr>
      </w:pPr>
    </w:p>
    <w:p w14:paraId="4754112A" w14:textId="77777777" w:rsidR="00DD6D34" w:rsidRPr="00DD6D34" w:rsidRDefault="00DD6D34" w:rsidP="00DD6D34">
      <w:pPr>
        <w:widowControl/>
        <w:ind w:left="-567" w:right="-233"/>
        <w:jc w:val="both"/>
        <w:rPr>
          <w:rFonts w:ascii="Century Gothic" w:eastAsia="Times New Roman" w:hAnsi="Century Gothic" w:cs="Arial"/>
          <w:b/>
          <w:kern w:val="0"/>
          <w:lang w:eastAsia="ar-SA"/>
        </w:rPr>
      </w:pPr>
      <w:r w:rsidRPr="00DD6D34">
        <w:rPr>
          <w:rFonts w:ascii="Century Gothic" w:eastAsia="Times New Roman" w:hAnsi="Century Gothic" w:cs="Arial"/>
          <w:b/>
          <w:bCs/>
          <w:kern w:val="0"/>
          <w:lang w:eastAsia="ar-SA"/>
        </w:rPr>
        <w:t>PRECEDENTE:</w:t>
      </w:r>
    </w:p>
    <w:p w14:paraId="7F234E7F" w14:textId="77777777" w:rsidR="00DD6D34" w:rsidRPr="00DD6D34" w:rsidRDefault="00DD6D34" w:rsidP="00DD6D34">
      <w:pPr>
        <w:widowControl/>
        <w:ind w:left="-567" w:right="-233"/>
        <w:jc w:val="both"/>
        <w:rPr>
          <w:rFonts w:ascii="Century Gothic" w:eastAsia="Times New Roman" w:hAnsi="Century Gothic" w:cs="Arial"/>
          <w:bCs/>
          <w:kern w:val="0"/>
          <w:lang w:eastAsia="ar-SA"/>
        </w:rPr>
      </w:pPr>
      <w:r w:rsidRPr="00DD6D34">
        <w:rPr>
          <w:rFonts w:ascii="Century Gothic" w:eastAsia="Times New Roman" w:hAnsi="Century Gothic" w:cs="Arial"/>
          <w:bCs/>
          <w:kern w:val="0"/>
          <w:lang w:eastAsia="ar-SA"/>
        </w:rPr>
        <w:t xml:space="preserve">Recurso de Apelación Núm. 23/2026 A-SEA. Resuelto por la Sala Superior del Tribunal de Justicia Administrativa del Estado de Jalisco, en sesión de 19 de agosto de 2026, por unanimidad de votos. Magistrado Ponente: José Ramón Jiménez Gutiérrez. Secretario: Eduardo </w:t>
      </w:r>
      <w:proofErr w:type="spellStart"/>
      <w:r w:rsidRPr="00DD6D34">
        <w:rPr>
          <w:rFonts w:ascii="Century Gothic" w:eastAsia="Times New Roman" w:hAnsi="Century Gothic" w:cs="Arial"/>
          <w:bCs/>
          <w:kern w:val="0"/>
          <w:lang w:eastAsia="ar-SA"/>
        </w:rPr>
        <w:t>Rafols</w:t>
      </w:r>
      <w:proofErr w:type="spellEnd"/>
      <w:r w:rsidRPr="00DD6D34">
        <w:rPr>
          <w:rFonts w:ascii="Century Gothic" w:eastAsia="Times New Roman" w:hAnsi="Century Gothic" w:cs="Arial"/>
          <w:bCs/>
          <w:kern w:val="0"/>
          <w:lang w:eastAsia="ar-SA"/>
        </w:rPr>
        <w:t xml:space="preserve"> Pérez.</w:t>
      </w:r>
    </w:p>
    <w:sectPr w:rsidR="00DD6D34" w:rsidRPr="00DD6D34" w:rsidSect="00206855">
      <w:pgSz w:w="12242" w:h="15842"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CD"/>
    <w:rsid w:val="00004F68"/>
    <w:rsid w:val="000C6BCD"/>
    <w:rsid w:val="00206855"/>
    <w:rsid w:val="003179F3"/>
    <w:rsid w:val="00330432"/>
    <w:rsid w:val="00530C61"/>
    <w:rsid w:val="005809E1"/>
    <w:rsid w:val="005822F8"/>
    <w:rsid w:val="006D2F47"/>
    <w:rsid w:val="006D54F0"/>
    <w:rsid w:val="00956A80"/>
    <w:rsid w:val="009808D4"/>
    <w:rsid w:val="00AB6268"/>
    <w:rsid w:val="00AD5253"/>
    <w:rsid w:val="00B35EFE"/>
    <w:rsid w:val="00B42772"/>
    <w:rsid w:val="00DD6D34"/>
    <w:rsid w:val="00F052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468E"/>
  <w15:chartTrackingRefBased/>
  <w15:docId w15:val="{22FA6F05-2E86-4C3D-BCB0-5BD75388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CD"/>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1416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Gaytan Padilla</dc:creator>
  <cp:keywords/>
  <dc:description/>
  <cp:lastModifiedBy>Rosalba Gaytan Padilla</cp:lastModifiedBy>
  <cp:revision>4</cp:revision>
  <cp:lastPrinted>2026-09-28T18:30:00Z</cp:lastPrinted>
  <dcterms:created xsi:type="dcterms:W3CDTF">2026-09-28T18:12:00Z</dcterms:created>
  <dcterms:modified xsi:type="dcterms:W3CDTF">2026-09-28T18:30:00Z</dcterms:modified>
</cp:coreProperties>
</file>