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6916FB20"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0820AF">
        <w:rPr>
          <w:rFonts w:ascii="Century Gothic" w:eastAsia="Times New Roman" w:hAnsi="Century Gothic"/>
          <w:lang w:eastAsia="ar-SA"/>
        </w:rPr>
        <w:t>3</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3DC1922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Pr>
          <w:rFonts w:ascii="Century Gothic" w:hAnsi="Century Gothic"/>
          <w:b/>
          <w:szCs w:val="18"/>
        </w:rPr>
        <w:t xml:space="preserve">Responsabilidad </w:t>
      </w:r>
      <w:r w:rsidR="006D54F0" w:rsidRPr="004B4F4A">
        <w:rPr>
          <w:rFonts w:ascii="Century Gothic" w:hAnsi="Century Gothic"/>
          <w:b/>
          <w:szCs w:val="18"/>
        </w:rPr>
        <w:t>Administrativa</w:t>
      </w:r>
    </w:p>
    <w:p w14:paraId="47C28F23" w14:textId="77777777" w:rsidR="006D54F0" w:rsidRDefault="006D54F0" w:rsidP="005809E1">
      <w:pPr>
        <w:widowControl/>
        <w:ind w:left="-567" w:right="-233"/>
        <w:jc w:val="both"/>
        <w:rPr>
          <w:rFonts w:ascii="Century Gothic" w:eastAsia="Times New Roman" w:hAnsi="Century Gothic"/>
          <w:b/>
          <w:bCs/>
          <w:kern w:val="0"/>
          <w:szCs w:val="18"/>
          <w:lang w:eastAsia="ar-SA"/>
        </w:rPr>
      </w:pPr>
    </w:p>
    <w:p w14:paraId="3943A524" w14:textId="77777777" w:rsidR="00DD6D34" w:rsidRDefault="00DD6D34" w:rsidP="00DD6D34">
      <w:pPr>
        <w:widowControl/>
        <w:ind w:left="-567" w:right="-233"/>
        <w:jc w:val="both"/>
        <w:rPr>
          <w:rFonts w:ascii="Century Gothic" w:eastAsia="Times New Roman" w:hAnsi="Century Gothic" w:cs="Arial"/>
          <w:b/>
          <w:bCs/>
          <w:kern w:val="0"/>
          <w:lang w:eastAsia="ar-SA"/>
        </w:rPr>
      </w:pPr>
    </w:p>
    <w:p w14:paraId="68A2BCA4" w14:textId="77777777" w:rsidR="00CF5C42" w:rsidRPr="00CF5C42" w:rsidRDefault="00CF5C42" w:rsidP="00CF5C42">
      <w:pPr>
        <w:widowControl/>
        <w:ind w:left="-567" w:right="-233"/>
        <w:jc w:val="both"/>
        <w:rPr>
          <w:rFonts w:ascii="Century Gothic" w:eastAsia="Times New Roman" w:hAnsi="Century Gothic" w:cs="Arial"/>
          <w:b/>
          <w:kern w:val="0"/>
          <w:lang w:eastAsia="ar-SA"/>
        </w:rPr>
      </w:pPr>
      <w:r w:rsidRPr="00CF5C42">
        <w:rPr>
          <w:rFonts w:ascii="Century Gothic" w:eastAsia="Times New Roman" w:hAnsi="Century Gothic" w:cs="Arial"/>
          <w:b/>
          <w:bCs/>
          <w:kern w:val="0"/>
          <w:lang w:eastAsia="ar-SA"/>
        </w:rPr>
        <w:t>CONSTANCIA NO NEGOCIABLE Y LISTADO DE TITULARES PREVISTOS EN EL ARTÍCULO 290 DE LA LEY DEL MERCADO DE VALORES, NO PUEDEN EXIGIRSE A UN ENTE PÚBLICO QUE CARECE DEL CARÁCTER DE DEPOSITANTE ANTE LA INSTITUCIÓN PARA EL DEPÓSITO DE VALORES</w:t>
      </w:r>
      <w:r w:rsidRPr="00CF5C42">
        <w:rPr>
          <w:rFonts w:ascii="Century Gothic" w:eastAsia="Times New Roman" w:hAnsi="Century Gothic" w:cs="Arial"/>
          <w:b/>
          <w:kern w:val="0"/>
          <w:lang w:eastAsia="ar-SA"/>
        </w:rPr>
        <w:t xml:space="preserve">. </w:t>
      </w:r>
      <w:r w:rsidRPr="00CF5C42">
        <w:rPr>
          <w:rFonts w:ascii="Century Gothic" w:eastAsia="Times New Roman" w:hAnsi="Century Gothic" w:cs="Arial"/>
          <w:bCs/>
          <w:kern w:val="0"/>
          <w:lang w:eastAsia="ar-SA"/>
        </w:rPr>
        <w:t xml:space="preserve">El artículo 290 de la Ley del Mercado de Valores establece que las instituciones para el depósito de valores expedirán a </w:t>
      </w:r>
      <w:proofErr w:type="gramStart"/>
      <w:r w:rsidRPr="00CF5C42">
        <w:rPr>
          <w:rFonts w:ascii="Century Gothic" w:eastAsia="Times New Roman" w:hAnsi="Century Gothic" w:cs="Arial"/>
          <w:bCs/>
          <w:kern w:val="0"/>
          <w:lang w:eastAsia="ar-SA"/>
        </w:rPr>
        <w:t>los depositantes constancias no negociables</w:t>
      </w:r>
      <w:proofErr w:type="gramEnd"/>
      <w:r w:rsidRPr="00CF5C42">
        <w:rPr>
          <w:rFonts w:ascii="Century Gothic" w:eastAsia="Times New Roman" w:hAnsi="Century Gothic" w:cs="Arial"/>
          <w:bCs/>
          <w:kern w:val="0"/>
          <w:lang w:eastAsia="ar-SA"/>
        </w:rPr>
        <w:t xml:space="preserve"> sobre los valores depositados, las cuales, complementadas con el listado de titulares que los propios depositantes formulen, servirán para acreditar la titularidad de los valores y el derecho de asistencia a asambleas, así como para legitimar el ejercicio de los derechos que aquéllos otorgan. De una interpretación sistemática de dicho precepto con los artículos 271, 272, 280, fracción I, y 284 del mismo ordenamiento, se concluye que el servicio de depósito de valores constituye un servicio público que únicamente prestan las instituciones concesionadas por el Gobierno Federal y el Banco de México, que tales servicios se otorgan en favor de entidades financieras o de otras personas autorizadas por la Comisión Nacional Bancaria y de Valores mediante disposiciones de carácter general, y que los depósitos se constituyen a nombre del depositante, por cuenta propia o de terceros. Por lo que un ente público que no reviste el carácter de entidad financiera ni cuenta con autorización para ser depositante, no puede obtener por sí la constancia no negociable ni formular el listado de titulares, ya que la primera sólo puede expedirse en favor del depositante y el segundo corresponde formularlo a éste; de manera que resulta incorrecto atribuir a una institución de banca múltiple el carácter de institución para el depósito de valores y exigir al ente público, como condición para tener por acreditada la titularidad de sus valores, la exhibición de documentos que jurídicamente no puede formular ni obtener.</w:t>
      </w:r>
    </w:p>
    <w:p w14:paraId="462BC182" w14:textId="77777777" w:rsidR="00CF5C42" w:rsidRPr="00CF5C42" w:rsidRDefault="00CF5C42" w:rsidP="00CF5C42">
      <w:pPr>
        <w:widowControl/>
        <w:ind w:left="-567" w:right="-233"/>
        <w:jc w:val="both"/>
        <w:rPr>
          <w:rFonts w:ascii="Century Gothic" w:eastAsia="Times New Roman" w:hAnsi="Century Gothic" w:cs="Arial"/>
          <w:b/>
          <w:kern w:val="0"/>
          <w:lang w:eastAsia="ar-SA"/>
        </w:rPr>
      </w:pPr>
    </w:p>
    <w:p w14:paraId="17AB8194" w14:textId="77777777" w:rsidR="00CF5C42" w:rsidRPr="00CF5C42" w:rsidRDefault="00CF5C42" w:rsidP="00CF5C42">
      <w:pPr>
        <w:widowControl/>
        <w:ind w:left="-567" w:right="-233"/>
        <w:jc w:val="both"/>
        <w:rPr>
          <w:rFonts w:ascii="Century Gothic" w:eastAsia="Times New Roman" w:hAnsi="Century Gothic" w:cs="Arial"/>
          <w:b/>
          <w:kern w:val="0"/>
          <w:lang w:eastAsia="ar-SA"/>
        </w:rPr>
      </w:pPr>
      <w:r w:rsidRPr="00CF5C42">
        <w:rPr>
          <w:rFonts w:ascii="Century Gothic" w:eastAsia="Times New Roman" w:hAnsi="Century Gothic" w:cs="Arial"/>
          <w:b/>
          <w:bCs/>
          <w:kern w:val="0"/>
          <w:lang w:eastAsia="ar-SA"/>
        </w:rPr>
        <w:t>PRECEDENTE:</w:t>
      </w:r>
    </w:p>
    <w:p w14:paraId="2996CD14" w14:textId="77777777" w:rsidR="00CF5C42" w:rsidRPr="00CF5C42" w:rsidRDefault="00CF5C42" w:rsidP="00CF5C42">
      <w:pPr>
        <w:widowControl/>
        <w:ind w:left="-567" w:right="-233"/>
        <w:jc w:val="both"/>
        <w:rPr>
          <w:rFonts w:ascii="Century Gothic" w:eastAsia="Times New Roman" w:hAnsi="Century Gothic" w:cs="Arial"/>
          <w:bCs/>
          <w:kern w:val="0"/>
          <w:lang w:eastAsia="ar-SA"/>
        </w:rPr>
      </w:pPr>
      <w:r w:rsidRPr="00CF5C42">
        <w:rPr>
          <w:rFonts w:ascii="Century Gothic" w:eastAsia="Times New Roman" w:hAnsi="Century Gothic" w:cs="Arial"/>
          <w:bCs/>
          <w:kern w:val="0"/>
          <w:lang w:eastAsia="ar-SA"/>
        </w:rPr>
        <w:t xml:space="preserve">Recurso de Apelación Núm. 23/2026 A-SEA. Resuelto por la Sala Superior del Tribunal de Justicia Administrativa del Estado de Jalisco, en sesión de 19 de agosto de 2026, por unanimidad de votos. Magistrado Ponente: José Ramón Jiménez Gutiérrez. Secretario: Eduardo </w:t>
      </w:r>
      <w:proofErr w:type="spellStart"/>
      <w:r w:rsidRPr="00CF5C42">
        <w:rPr>
          <w:rFonts w:ascii="Century Gothic" w:eastAsia="Times New Roman" w:hAnsi="Century Gothic" w:cs="Arial"/>
          <w:bCs/>
          <w:kern w:val="0"/>
          <w:lang w:eastAsia="ar-SA"/>
        </w:rPr>
        <w:t>Rafols</w:t>
      </w:r>
      <w:proofErr w:type="spellEnd"/>
      <w:r w:rsidRPr="00CF5C42">
        <w:rPr>
          <w:rFonts w:ascii="Century Gothic" w:eastAsia="Times New Roman" w:hAnsi="Century Gothic" w:cs="Arial"/>
          <w:bCs/>
          <w:kern w:val="0"/>
          <w:lang w:eastAsia="ar-SA"/>
        </w:rPr>
        <w:t xml:space="preserve"> Pérez.</w:t>
      </w:r>
    </w:p>
    <w:sectPr w:rsidR="00CF5C42" w:rsidRPr="00CF5C42"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820AF"/>
    <w:rsid w:val="000C6BCD"/>
    <w:rsid w:val="00206855"/>
    <w:rsid w:val="00330432"/>
    <w:rsid w:val="00530C61"/>
    <w:rsid w:val="005809E1"/>
    <w:rsid w:val="005822F8"/>
    <w:rsid w:val="006D2F47"/>
    <w:rsid w:val="006D54F0"/>
    <w:rsid w:val="00956A80"/>
    <w:rsid w:val="009808D4"/>
    <w:rsid w:val="00AB6268"/>
    <w:rsid w:val="00AD5253"/>
    <w:rsid w:val="00B35EFE"/>
    <w:rsid w:val="00B42772"/>
    <w:rsid w:val="00CF5C42"/>
    <w:rsid w:val="00DD6D34"/>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1966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2026-09-28T18:14:00Z</cp:lastPrinted>
  <dcterms:created xsi:type="dcterms:W3CDTF">2026-09-28T18:13:00Z</dcterms:created>
  <dcterms:modified xsi:type="dcterms:W3CDTF">2026-09-28T18:31:00Z</dcterms:modified>
</cp:coreProperties>
</file>