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14E34082"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AF4D27">
        <w:rPr>
          <w:rFonts w:ascii="Century Gothic" w:eastAsia="Times New Roman" w:hAnsi="Century Gothic"/>
          <w:lang w:eastAsia="ar-SA"/>
        </w:rPr>
        <w:t>4</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77777777" w:rsidR="006D54F0" w:rsidRDefault="006D54F0" w:rsidP="005809E1">
      <w:pPr>
        <w:widowControl/>
        <w:ind w:left="-567" w:right="-233"/>
        <w:jc w:val="both"/>
        <w:rPr>
          <w:rFonts w:ascii="Century Gothic" w:eastAsia="Times New Roman" w:hAnsi="Century Gothic"/>
          <w:b/>
          <w:bCs/>
          <w:kern w:val="0"/>
          <w:szCs w:val="18"/>
          <w:lang w:eastAsia="ar-SA"/>
        </w:rPr>
      </w:pPr>
    </w:p>
    <w:p w14:paraId="3943A524" w14:textId="77777777" w:rsidR="00DD6D34" w:rsidRDefault="00DD6D34" w:rsidP="00DD6D34">
      <w:pPr>
        <w:widowControl/>
        <w:ind w:left="-567" w:right="-233"/>
        <w:jc w:val="both"/>
        <w:rPr>
          <w:rFonts w:ascii="Century Gothic" w:eastAsia="Times New Roman" w:hAnsi="Century Gothic" w:cs="Arial"/>
          <w:b/>
          <w:bCs/>
          <w:kern w:val="0"/>
          <w:lang w:eastAsia="ar-SA"/>
        </w:rPr>
      </w:pPr>
    </w:p>
    <w:p w14:paraId="22D0B7B1" w14:textId="77777777" w:rsidR="00BB4CE0" w:rsidRPr="00BB4CE0" w:rsidRDefault="00BB4CE0" w:rsidP="00BB4CE0">
      <w:pPr>
        <w:widowControl/>
        <w:ind w:left="-567" w:right="-233"/>
        <w:jc w:val="both"/>
        <w:rPr>
          <w:rFonts w:ascii="Century Gothic" w:eastAsia="Times New Roman" w:hAnsi="Century Gothic" w:cs="Arial"/>
          <w:b/>
          <w:kern w:val="0"/>
          <w:lang w:eastAsia="ar-SA"/>
        </w:rPr>
      </w:pPr>
      <w:r w:rsidRPr="00BB4CE0">
        <w:rPr>
          <w:rFonts w:ascii="Century Gothic" w:eastAsia="Times New Roman" w:hAnsi="Century Gothic" w:cs="Arial"/>
          <w:b/>
          <w:bCs/>
          <w:kern w:val="0"/>
          <w:lang w:eastAsia="ar-SA"/>
        </w:rPr>
        <w:t>TITULARIDAD DE VALORES DEPOSITADOS, PUEDE ACREDITARSE PARA EFECTOS DE LA CONTABILIDAD GUBERNAMENTAL Y DEL PROCEDIMIENTO DE RESPONSABILIDAD ADMINISTRATIVA CON LOS ESTADOS DE CUENTA EMITIDOS POR LAS INSTITUCIONES DEL SISTEMA DE DEPÓSITO Y LOS INTERMEDIARIOS FINANCIEROS</w:t>
      </w:r>
      <w:r w:rsidRPr="00BB4CE0">
        <w:rPr>
          <w:rFonts w:ascii="Century Gothic" w:eastAsia="Times New Roman" w:hAnsi="Century Gothic" w:cs="Arial"/>
          <w:b/>
          <w:kern w:val="0"/>
          <w:lang w:eastAsia="ar-SA"/>
        </w:rPr>
        <w:t xml:space="preserve">. </w:t>
      </w:r>
      <w:r w:rsidRPr="00BB4CE0">
        <w:rPr>
          <w:rFonts w:ascii="Century Gothic" w:eastAsia="Times New Roman" w:hAnsi="Century Gothic" w:cs="Arial"/>
          <w:bCs/>
          <w:kern w:val="0"/>
          <w:lang w:eastAsia="ar-SA"/>
        </w:rPr>
        <w:t>El artículo 42 de la Ley General de Contabilidad Gubernamental dispone que la contabilización de las operaciones presupuestarias y contables deberá respaldarse con la documentación original que compruebe y justifique los registros que se efectúen, sin restringir el género documental a un instrumento específico. Por su parte, las fracciones I y II del artículo 290 de la Ley del Mercado de Valores asignan a la constancia no negociable y a su listado complementario la función de acreditar la titularidad para efectos de asistencia a asambleas y de legitimar el ejercicio de derechos, inclusive procesales, frente a la emisora y terceros, mientras que el artículo 296 del mismo ordenamiento obliga a las instituciones para el depósito de valores a emitir estados de cuenta con el detalle de los movimientos registrados, y el artículo 68 de la Ley de Instituciones de Crédito reconoce a los estados de cuenta certificados de las instituciones de crédito fuerza probatoria salvo prueba en contrario. En estas condiciones, la constancia y el listado del artículo 290 no constituyen el medio exclusivo de comprobación de la titularidad de valores para efectos de la contabilidad gubernamental ni del procedimiento de responsabilidad administrativa, por lo que los estados de cuenta emitidos por las instituciones del sistema de depósito y por los intermediarios financieros que individualizan la emisora, la serie y la cantidad de títulos, así como sus movimientos, constituyen documentación comprobatoria idónea para acreditar la trayectoria y la permanencia de los valores en el patrimonio del ente público, y resulta incorrecto desestimarlos de manera genérica bajo el argumento de que no suplen a aquellos instrumentos.</w:t>
      </w:r>
    </w:p>
    <w:p w14:paraId="3C23C82F" w14:textId="77777777" w:rsidR="00BB4CE0" w:rsidRPr="00BB4CE0" w:rsidRDefault="00BB4CE0" w:rsidP="00BB4CE0">
      <w:pPr>
        <w:widowControl/>
        <w:ind w:left="-567" w:right="-233"/>
        <w:jc w:val="both"/>
        <w:rPr>
          <w:rFonts w:ascii="Century Gothic" w:eastAsia="Times New Roman" w:hAnsi="Century Gothic" w:cs="Arial"/>
          <w:b/>
          <w:kern w:val="0"/>
          <w:lang w:eastAsia="ar-SA"/>
        </w:rPr>
      </w:pPr>
    </w:p>
    <w:p w14:paraId="43C38678" w14:textId="77777777" w:rsidR="00BB4CE0" w:rsidRPr="00BB4CE0" w:rsidRDefault="00BB4CE0" w:rsidP="00BB4CE0">
      <w:pPr>
        <w:widowControl/>
        <w:ind w:left="-567" w:right="-233"/>
        <w:jc w:val="both"/>
        <w:rPr>
          <w:rFonts w:ascii="Century Gothic" w:eastAsia="Times New Roman" w:hAnsi="Century Gothic" w:cs="Arial"/>
          <w:b/>
          <w:kern w:val="0"/>
          <w:lang w:eastAsia="ar-SA"/>
        </w:rPr>
      </w:pPr>
      <w:r w:rsidRPr="00BB4CE0">
        <w:rPr>
          <w:rFonts w:ascii="Century Gothic" w:eastAsia="Times New Roman" w:hAnsi="Century Gothic" w:cs="Arial"/>
          <w:b/>
          <w:bCs/>
          <w:kern w:val="0"/>
          <w:lang w:eastAsia="ar-SA"/>
        </w:rPr>
        <w:t>PRECEDENTE:</w:t>
      </w:r>
    </w:p>
    <w:p w14:paraId="3F0A89CD" w14:textId="77777777" w:rsidR="00BB4CE0" w:rsidRPr="00BB4CE0" w:rsidRDefault="00BB4CE0" w:rsidP="00BB4CE0">
      <w:pPr>
        <w:widowControl/>
        <w:ind w:left="-567" w:right="-233"/>
        <w:jc w:val="both"/>
        <w:rPr>
          <w:rFonts w:ascii="Century Gothic" w:eastAsia="Times New Roman" w:hAnsi="Century Gothic" w:cs="Arial"/>
          <w:bCs/>
          <w:kern w:val="0"/>
          <w:lang w:eastAsia="ar-SA"/>
        </w:rPr>
      </w:pPr>
      <w:r w:rsidRPr="00BB4CE0">
        <w:rPr>
          <w:rFonts w:ascii="Century Gothic" w:eastAsia="Times New Roman" w:hAnsi="Century Gothic" w:cs="Arial"/>
          <w:bCs/>
          <w:kern w:val="0"/>
          <w:lang w:eastAsia="ar-SA"/>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BB4CE0">
        <w:rPr>
          <w:rFonts w:ascii="Century Gothic" w:eastAsia="Times New Roman" w:hAnsi="Century Gothic" w:cs="Arial"/>
          <w:bCs/>
          <w:kern w:val="0"/>
          <w:lang w:eastAsia="ar-SA"/>
        </w:rPr>
        <w:t>Rafols</w:t>
      </w:r>
      <w:proofErr w:type="spellEnd"/>
      <w:r w:rsidRPr="00BB4CE0">
        <w:rPr>
          <w:rFonts w:ascii="Century Gothic" w:eastAsia="Times New Roman" w:hAnsi="Century Gothic" w:cs="Arial"/>
          <w:bCs/>
          <w:kern w:val="0"/>
          <w:lang w:eastAsia="ar-SA"/>
        </w:rPr>
        <w:t xml:space="preserve"> Pérez.</w:t>
      </w:r>
    </w:p>
    <w:sectPr w:rsidR="00BB4CE0" w:rsidRPr="00BB4CE0"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206855"/>
    <w:rsid w:val="00330432"/>
    <w:rsid w:val="00530C61"/>
    <w:rsid w:val="005809E1"/>
    <w:rsid w:val="005822F8"/>
    <w:rsid w:val="006D2F47"/>
    <w:rsid w:val="006D54F0"/>
    <w:rsid w:val="00956A80"/>
    <w:rsid w:val="009808D4"/>
    <w:rsid w:val="00AB6268"/>
    <w:rsid w:val="00AD5253"/>
    <w:rsid w:val="00AF4D27"/>
    <w:rsid w:val="00B35EFE"/>
    <w:rsid w:val="00B42772"/>
    <w:rsid w:val="00BB4CE0"/>
    <w:rsid w:val="00CF5C4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2029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2026-09-28T18:31:00Z</cp:lastPrinted>
  <dcterms:created xsi:type="dcterms:W3CDTF">2026-09-28T18:14:00Z</dcterms:created>
  <dcterms:modified xsi:type="dcterms:W3CDTF">2026-09-28T18:31:00Z</dcterms:modified>
</cp:coreProperties>
</file>