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4FD2E856"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A8131E">
        <w:rPr>
          <w:rFonts w:ascii="Century Gothic" w:eastAsia="Times New Roman" w:hAnsi="Century Gothic"/>
          <w:lang w:eastAsia="ar-SA"/>
        </w:rPr>
        <w:t>5</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0C2E43E8" w:rsidR="006D54F0" w:rsidRDefault="006D54F0" w:rsidP="005809E1">
      <w:pPr>
        <w:widowControl/>
        <w:ind w:left="-567" w:right="-233"/>
        <w:jc w:val="both"/>
        <w:rPr>
          <w:rFonts w:ascii="Century Gothic" w:eastAsia="Times New Roman" w:hAnsi="Century Gothic"/>
          <w:b/>
          <w:bCs/>
          <w:kern w:val="0"/>
          <w:szCs w:val="18"/>
          <w:lang w:eastAsia="ar-SA"/>
        </w:rPr>
      </w:pPr>
    </w:p>
    <w:p w14:paraId="65EFE575" w14:textId="77777777" w:rsidR="005152A9" w:rsidRDefault="005152A9" w:rsidP="005809E1">
      <w:pPr>
        <w:widowControl/>
        <w:ind w:left="-567" w:right="-233"/>
        <w:jc w:val="both"/>
        <w:rPr>
          <w:rFonts w:ascii="Century Gothic" w:eastAsia="Times New Roman" w:hAnsi="Century Gothic"/>
          <w:b/>
          <w:bCs/>
          <w:kern w:val="0"/>
          <w:szCs w:val="18"/>
          <w:lang w:eastAsia="ar-SA"/>
        </w:rPr>
      </w:pPr>
    </w:p>
    <w:p w14:paraId="1D98C3D5" w14:textId="77777777" w:rsidR="005152A9" w:rsidRPr="005152A9" w:rsidRDefault="005152A9" w:rsidP="005152A9">
      <w:pPr>
        <w:widowControl/>
        <w:ind w:left="-567" w:right="-233"/>
        <w:jc w:val="both"/>
        <w:rPr>
          <w:rFonts w:ascii="Century Gothic" w:eastAsia="Times New Roman" w:hAnsi="Century Gothic" w:cs="Arial"/>
          <w:bCs/>
          <w:kern w:val="0"/>
          <w:lang w:eastAsia="ar-SA"/>
        </w:rPr>
      </w:pPr>
      <w:r w:rsidRPr="005152A9">
        <w:rPr>
          <w:rFonts w:ascii="Century Gothic" w:eastAsia="Times New Roman" w:hAnsi="Century Gothic" w:cs="Arial"/>
          <w:b/>
          <w:bCs/>
          <w:kern w:val="0"/>
          <w:lang w:eastAsia="ar-SA"/>
        </w:rPr>
        <w:t>DAÑO PATRIMONIAL EN EL PROCEDIMIENTO DE RESPONSABILIDAD ADMINISTRATIVA. LA OBSERVACIÓN DE FISCALIZACIÓN NO SOLVENTADA QUE CONSIGNA UN PROBABLE DAÑO NO ACREDITA POR SÍ MISMA EL DAÑO CIERTO Y CUANTIFICADO QUE EXIGEN LOS ARTÍCULOS 78 Y 79 DE LA LEY GENERAL DE RESPONSABILIDADES ADMINISTRATIVAS</w:t>
      </w:r>
      <w:r w:rsidRPr="005152A9">
        <w:rPr>
          <w:rFonts w:ascii="Century Gothic" w:eastAsia="Times New Roman" w:hAnsi="Century Gothic" w:cs="Arial"/>
          <w:b/>
          <w:kern w:val="0"/>
          <w:lang w:eastAsia="ar-SA"/>
        </w:rPr>
        <w:t xml:space="preserve">. </w:t>
      </w:r>
      <w:r w:rsidRPr="005152A9">
        <w:rPr>
          <w:rFonts w:ascii="Century Gothic" w:eastAsia="Times New Roman" w:hAnsi="Century Gothic" w:cs="Arial"/>
          <w:bCs/>
          <w:kern w:val="0"/>
          <w:lang w:eastAsia="ar-SA"/>
        </w:rPr>
        <w:t xml:space="preserve">Los artículos 78, último párrafo, y 79, párrafo segundo, de la Ley General de Responsabilidades Administrativas condicionan, respectivamente, la imposición de la inhabilitación en su rango agravado y la condena al pago de indemnización, a la existencia de daños y perjuicios efectivamente causados a la hacienda pública o al patrimonio de los entes públicos y a la determinación de su monto; por su parte, el artículo 135 del mismo ordenamiento impone a la autoridad investigadora la carga de probar los hechos y la responsabilidad. De la interpretación armónica de tales preceptos se permite arribar a la convicción de que la observación derivada de la fiscalización de la cuenta pública que consigna un probable daño y que no fue solventada por el ente auditado, constituye únicamente el punto de partida de la investigación, mas no la prueba del daño, ya que la probabilidad consignada por la entidad de fiscalización no se convierte en certeza por la sola circunstancia de la falta de </w:t>
      </w:r>
      <w:proofErr w:type="spellStart"/>
      <w:r w:rsidRPr="005152A9">
        <w:rPr>
          <w:rFonts w:ascii="Century Gothic" w:eastAsia="Times New Roman" w:hAnsi="Century Gothic" w:cs="Arial"/>
          <w:bCs/>
          <w:kern w:val="0"/>
          <w:lang w:eastAsia="ar-SA"/>
        </w:rPr>
        <w:t>solventación</w:t>
      </w:r>
      <w:proofErr w:type="spellEnd"/>
      <w:r w:rsidRPr="005152A9">
        <w:rPr>
          <w:rFonts w:ascii="Century Gothic" w:eastAsia="Times New Roman" w:hAnsi="Century Gothic" w:cs="Arial"/>
          <w:bCs/>
          <w:kern w:val="0"/>
          <w:lang w:eastAsia="ar-SA"/>
        </w:rPr>
        <w:t xml:space="preserve">. Por lo que la autoridad resolutora no puede tener por acreditado un daño patrimonial por el monto de la observación sin realizar una cuantificación autónoma ni verificar la salida de los recursos del patrimonio del ente, y menos </w:t>
      </w:r>
      <w:proofErr w:type="spellStart"/>
      <w:r w:rsidRPr="005152A9">
        <w:rPr>
          <w:rFonts w:ascii="Century Gothic" w:eastAsia="Times New Roman" w:hAnsi="Century Gothic" w:cs="Arial"/>
          <w:bCs/>
          <w:kern w:val="0"/>
          <w:lang w:eastAsia="ar-SA"/>
        </w:rPr>
        <w:t>aún</w:t>
      </w:r>
      <w:proofErr w:type="spellEnd"/>
      <w:r w:rsidRPr="005152A9">
        <w:rPr>
          <w:rFonts w:ascii="Century Gothic" w:eastAsia="Times New Roman" w:hAnsi="Century Gothic" w:cs="Arial"/>
          <w:bCs/>
          <w:kern w:val="0"/>
          <w:lang w:eastAsia="ar-SA"/>
        </w:rPr>
        <w:t xml:space="preserve"> cuando ella misma reconoce que no se demostró beneficio ni sustracción alguna en favor de los presuntos responsables, ya que ello entraña una contradicción interna que transgrede el principio de congruencia previsto en el artículo 111 de la propia Ley General.</w:t>
      </w:r>
    </w:p>
    <w:p w14:paraId="089D890A" w14:textId="77777777" w:rsidR="005152A9" w:rsidRPr="005152A9" w:rsidRDefault="005152A9" w:rsidP="005152A9">
      <w:pPr>
        <w:widowControl/>
        <w:ind w:left="-567" w:right="-233"/>
        <w:jc w:val="both"/>
        <w:rPr>
          <w:rFonts w:ascii="Century Gothic" w:eastAsia="Times New Roman" w:hAnsi="Century Gothic" w:cs="Arial"/>
          <w:b/>
          <w:kern w:val="0"/>
          <w:lang w:eastAsia="ar-SA"/>
        </w:rPr>
      </w:pPr>
    </w:p>
    <w:p w14:paraId="1E9F0320" w14:textId="77777777" w:rsidR="005152A9" w:rsidRPr="005152A9" w:rsidRDefault="005152A9" w:rsidP="005152A9">
      <w:pPr>
        <w:widowControl/>
        <w:ind w:left="-567" w:right="-233"/>
        <w:jc w:val="both"/>
        <w:rPr>
          <w:rFonts w:ascii="Century Gothic" w:eastAsia="Times New Roman" w:hAnsi="Century Gothic" w:cs="Arial"/>
          <w:b/>
          <w:kern w:val="0"/>
          <w:lang w:eastAsia="ar-SA"/>
        </w:rPr>
      </w:pPr>
      <w:r w:rsidRPr="005152A9">
        <w:rPr>
          <w:rFonts w:ascii="Century Gothic" w:eastAsia="Times New Roman" w:hAnsi="Century Gothic" w:cs="Arial"/>
          <w:b/>
          <w:bCs/>
          <w:kern w:val="0"/>
          <w:lang w:eastAsia="ar-SA"/>
        </w:rPr>
        <w:t>PRECEDENTE:</w:t>
      </w:r>
    </w:p>
    <w:p w14:paraId="5547A8D5" w14:textId="77777777" w:rsidR="005152A9" w:rsidRPr="005152A9" w:rsidRDefault="005152A9" w:rsidP="005152A9">
      <w:pPr>
        <w:widowControl/>
        <w:ind w:left="-567" w:right="-233"/>
        <w:jc w:val="both"/>
        <w:rPr>
          <w:rFonts w:ascii="Century Gothic" w:eastAsia="Times New Roman" w:hAnsi="Century Gothic" w:cs="Arial"/>
          <w:bCs/>
          <w:kern w:val="0"/>
          <w:lang w:eastAsia="ar-SA"/>
        </w:rPr>
      </w:pPr>
      <w:r w:rsidRPr="005152A9">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5152A9">
        <w:rPr>
          <w:rFonts w:ascii="Century Gothic" w:eastAsia="Times New Roman" w:hAnsi="Century Gothic" w:cs="Arial"/>
          <w:bCs/>
          <w:kern w:val="0"/>
          <w:lang w:eastAsia="ar-SA"/>
        </w:rPr>
        <w:t>Rafols</w:t>
      </w:r>
      <w:proofErr w:type="spellEnd"/>
      <w:r w:rsidRPr="005152A9">
        <w:rPr>
          <w:rFonts w:ascii="Century Gothic" w:eastAsia="Times New Roman" w:hAnsi="Century Gothic" w:cs="Arial"/>
          <w:bCs/>
          <w:kern w:val="0"/>
          <w:lang w:eastAsia="ar-SA"/>
        </w:rPr>
        <w:t xml:space="preserve"> Pérez.</w:t>
      </w:r>
    </w:p>
    <w:p w14:paraId="3943A524" w14:textId="77777777" w:rsidR="00DD6D34" w:rsidRDefault="00DD6D34" w:rsidP="00DD6D34">
      <w:pPr>
        <w:widowControl/>
        <w:ind w:left="-567" w:right="-233"/>
        <w:jc w:val="both"/>
        <w:rPr>
          <w:rFonts w:ascii="Century Gothic" w:eastAsia="Times New Roman" w:hAnsi="Century Gothic" w:cs="Arial"/>
          <w:b/>
          <w:bCs/>
          <w:kern w:val="0"/>
          <w:lang w:eastAsia="ar-SA"/>
        </w:rPr>
      </w:pPr>
    </w:p>
    <w:sectPr w:rsidR="00DD6D34"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206855"/>
    <w:rsid w:val="00330432"/>
    <w:rsid w:val="005152A9"/>
    <w:rsid w:val="00530C61"/>
    <w:rsid w:val="005809E1"/>
    <w:rsid w:val="005822F8"/>
    <w:rsid w:val="006D2F47"/>
    <w:rsid w:val="006D54F0"/>
    <w:rsid w:val="00956A80"/>
    <w:rsid w:val="009808D4"/>
    <w:rsid w:val="00A8131E"/>
    <w:rsid w:val="00AB6268"/>
    <w:rsid w:val="00AD5253"/>
    <w:rsid w:val="00B35EFE"/>
    <w:rsid w:val="00B42772"/>
    <w:rsid w:val="00BB4CE0"/>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1859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2026-09-28T18:31:00Z</cp:lastPrinted>
  <dcterms:created xsi:type="dcterms:W3CDTF">2026-09-28T18:16:00Z</dcterms:created>
  <dcterms:modified xsi:type="dcterms:W3CDTF">2026-09-28T18:31:00Z</dcterms:modified>
</cp:coreProperties>
</file>