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E86F" w14:textId="77777777" w:rsidR="000C6BCD" w:rsidRPr="005F264E" w:rsidRDefault="000C6BCD" w:rsidP="009808D4">
      <w:pPr>
        <w:tabs>
          <w:tab w:val="left" w:pos="3038"/>
        </w:tabs>
        <w:ind w:left="-567" w:right="-799"/>
        <w:jc w:val="both"/>
        <w:rPr>
          <w:rFonts w:ascii="Century Gothic" w:eastAsia="Times New Roman" w:hAnsi="Century Gothic" w:cs="Arial"/>
          <w:b/>
          <w:kern w:val="0"/>
          <w:lang w:eastAsia="ar-SA"/>
        </w:rPr>
      </w:pPr>
      <w:r w:rsidRPr="005F264E">
        <w:rPr>
          <w:rFonts w:ascii="Century Gothic" w:eastAsia="Times New Roman" w:hAnsi="Century Gothic" w:cs="Arial"/>
          <w:b/>
          <w:lang w:eastAsia="ar-SA"/>
        </w:rPr>
        <w:t xml:space="preserve">SEGUNDA ÉPOCA </w:t>
      </w:r>
    </w:p>
    <w:p w14:paraId="678BAF08" w14:textId="13537629" w:rsidR="000C6BCD" w:rsidRPr="005F264E" w:rsidRDefault="000C6BCD" w:rsidP="009808D4">
      <w:pPr>
        <w:tabs>
          <w:tab w:val="left" w:pos="3038"/>
          <w:tab w:val="left" w:pos="6946"/>
        </w:tabs>
        <w:ind w:left="-567" w:right="-799"/>
        <w:jc w:val="both"/>
        <w:rPr>
          <w:rFonts w:ascii="Century Gothic" w:eastAsia="Times New Roman" w:hAnsi="Century Gothic"/>
          <w:sz w:val="22"/>
          <w:szCs w:val="22"/>
          <w:lang w:eastAsia="ar-SA"/>
        </w:rPr>
      </w:pPr>
      <w:r w:rsidRPr="005F264E">
        <w:rPr>
          <w:rFonts w:ascii="Century Gothic" w:eastAsia="Times New Roman" w:hAnsi="Century Gothic"/>
          <w:lang w:eastAsia="ar-SA"/>
        </w:rPr>
        <w:t xml:space="preserve">Número de Registro </w:t>
      </w:r>
      <w:r w:rsidR="008C089D">
        <w:rPr>
          <w:rFonts w:ascii="Century Gothic" w:eastAsia="Times New Roman" w:hAnsi="Century Gothic"/>
          <w:lang w:eastAsia="ar-SA"/>
        </w:rPr>
        <w:t>6</w:t>
      </w:r>
      <w:r w:rsidRPr="005F264E">
        <w:rPr>
          <w:rFonts w:ascii="Century Gothic" w:eastAsia="Times New Roman" w:hAnsi="Century Gothic"/>
          <w:lang w:eastAsia="ar-SA"/>
        </w:rPr>
        <w:t>/1</w:t>
      </w:r>
      <w:r w:rsidR="006D54F0">
        <w:rPr>
          <w:rFonts w:ascii="Century Gothic" w:eastAsia="Times New Roman" w:hAnsi="Century Gothic"/>
          <w:lang w:eastAsia="ar-SA"/>
        </w:rPr>
        <w:t>6</w:t>
      </w:r>
      <w:r w:rsidRPr="005F264E">
        <w:rPr>
          <w:rFonts w:ascii="Century Gothic" w:eastAsia="Times New Roman" w:hAnsi="Century Gothic"/>
          <w:lang w:eastAsia="ar-SA"/>
        </w:rPr>
        <w:t>ORD/SS/JA</w:t>
      </w:r>
    </w:p>
    <w:p w14:paraId="74C6B566" w14:textId="1A8D0DCC" w:rsidR="000C6BCD" w:rsidRPr="005F264E" w:rsidRDefault="00206855" w:rsidP="009808D4">
      <w:pPr>
        <w:tabs>
          <w:tab w:val="left" w:pos="3038"/>
          <w:tab w:val="left" w:pos="6946"/>
        </w:tabs>
        <w:ind w:left="-567" w:right="-799"/>
        <w:jc w:val="both"/>
        <w:rPr>
          <w:rFonts w:ascii="Century Gothic" w:eastAsia="Times New Roman" w:hAnsi="Century Gothic"/>
          <w:lang w:eastAsia="ar-SA"/>
        </w:rPr>
      </w:pPr>
      <w:r>
        <w:rPr>
          <w:rFonts w:ascii="Century Gothic" w:eastAsia="Times New Roman" w:hAnsi="Century Gothic"/>
          <w:lang w:eastAsia="ar-SA"/>
        </w:rPr>
        <w:t>PRECEDENTE</w:t>
      </w:r>
    </w:p>
    <w:p w14:paraId="0629EEB0" w14:textId="77777777" w:rsidR="000C6BCD" w:rsidRPr="005F264E" w:rsidRDefault="000C6BCD" w:rsidP="009808D4">
      <w:pPr>
        <w:tabs>
          <w:tab w:val="left" w:pos="3038"/>
          <w:tab w:val="left" w:pos="6946"/>
        </w:tabs>
        <w:ind w:left="-567" w:right="-799"/>
        <w:jc w:val="both"/>
        <w:rPr>
          <w:rFonts w:ascii="Century Gothic" w:eastAsia="Times New Roman" w:hAnsi="Century Gothic"/>
          <w:lang w:eastAsia="ar-SA"/>
        </w:rPr>
      </w:pPr>
      <w:r w:rsidRPr="005F264E">
        <w:rPr>
          <w:rFonts w:ascii="Century Gothic" w:eastAsia="Times New Roman" w:hAnsi="Century Gothic"/>
          <w:lang w:eastAsia="ar-SA"/>
        </w:rPr>
        <w:t>Tomo I 2026</w:t>
      </w:r>
    </w:p>
    <w:p w14:paraId="6F1B711A" w14:textId="3DC1922B" w:rsidR="006D54F0" w:rsidRDefault="00206855" w:rsidP="00206855">
      <w:pPr>
        <w:tabs>
          <w:tab w:val="left" w:pos="3038"/>
        </w:tabs>
        <w:spacing w:line="360" w:lineRule="auto"/>
        <w:ind w:left="-567" w:right="50"/>
        <w:jc w:val="right"/>
        <w:rPr>
          <w:rFonts w:ascii="Century Gothic" w:hAnsi="Century Gothic"/>
          <w:b/>
        </w:rPr>
      </w:pPr>
      <w:r>
        <w:rPr>
          <w:rFonts w:ascii="Century Gothic" w:hAnsi="Century Gothic"/>
          <w:b/>
          <w:szCs w:val="18"/>
        </w:rPr>
        <w:tab/>
        <w:t xml:space="preserve">  </w:t>
      </w:r>
      <w:r w:rsidR="006D54F0" w:rsidRPr="004B4F4A">
        <w:rPr>
          <w:rFonts w:ascii="Century Gothic" w:hAnsi="Century Gothic"/>
          <w:b/>
          <w:szCs w:val="18"/>
        </w:rPr>
        <w:t xml:space="preserve">Materia: </w:t>
      </w:r>
      <w:r>
        <w:rPr>
          <w:rFonts w:ascii="Century Gothic" w:hAnsi="Century Gothic"/>
          <w:b/>
          <w:szCs w:val="18"/>
        </w:rPr>
        <w:t xml:space="preserve">Responsabilidad </w:t>
      </w:r>
      <w:r w:rsidR="006D54F0" w:rsidRPr="004B4F4A">
        <w:rPr>
          <w:rFonts w:ascii="Century Gothic" w:hAnsi="Century Gothic"/>
          <w:b/>
          <w:szCs w:val="18"/>
        </w:rPr>
        <w:t>Administrativa</w:t>
      </w:r>
    </w:p>
    <w:p w14:paraId="47C28F23" w14:textId="73F90BCA" w:rsidR="006D54F0" w:rsidRDefault="006D54F0" w:rsidP="005809E1">
      <w:pPr>
        <w:widowControl/>
        <w:ind w:left="-567" w:right="-233"/>
        <w:jc w:val="both"/>
        <w:rPr>
          <w:rFonts w:ascii="Century Gothic" w:eastAsia="Times New Roman" w:hAnsi="Century Gothic"/>
          <w:b/>
          <w:bCs/>
          <w:kern w:val="0"/>
          <w:szCs w:val="18"/>
          <w:lang w:eastAsia="ar-SA"/>
        </w:rPr>
      </w:pPr>
    </w:p>
    <w:p w14:paraId="3446499B" w14:textId="77777777" w:rsidR="001C16DB" w:rsidRDefault="001C16DB" w:rsidP="005809E1">
      <w:pPr>
        <w:widowControl/>
        <w:ind w:left="-567" w:right="-233"/>
        <w:jc w:val="both"/>
        <w:rPr>
          <w:rFonts w:ascii="Century Gothic" w:eastAsia="Times New Roman" w:hAnsi="Century Gothic"/>
          <w:b/>
          <w:bCs/>
          <w:kern w:val="0"/>
          <w:szCs w:val="18"/>
          <w:lang w:eastAsia="ar-SA"/>
        </w:rPr>
      </w:pPr>
    </w:p>
    <w:p w14:paraId="0B5703E0" w14:textId="77777777" w:rsidR="001C16DB" w:rsidRPr="001C16DB" w:rsidRDefault="001C16DB" w:rsidP="001C16DB">
      <w:pPr>
        <w:widowControl/>
        <w:ind w:left="-567" w:right="-233"/>
        <w:jc w:val="both"/>
        <w:rPr>
          <w:rFonts w:ascii="Century Gothic" w:eastAsia="Times New Roman" w:hAnsi="Century Gothic" w:cs="Arial"/>
          <w:b/>
          <w:kern w:val="0"/>
          <w:lang w:eastAsia="ar-SA"/>
        </w:rPr>
      </w:pPr>
      <w:r w:rsidRPr="001C16DB">
        <w:rPr>
          <w:rFonts w:ascii="Century Gothic" w:eastAsia="Times New Roman" w:hAnsi="Century Gothic" w:cs="Arial"/>
          <w:b/>
          <w:bCs/>
          <w:kern w:val="0"/>
          <w:lang w:eastAsia="ar-SA"/>
        </w:rPr>
        <w:t>RECURSO DE APELACIÓN EN EL PROCEDIMIENTO DE RESPONSABILIDAD ADMINISTRATIVA, LA REVOCACIÓN FUNDADA EN MOTIVOS OBJETIVOS APROVECHA AL PRESUNTO RESPONSABLE QUE NO RECURRIÓ</w:t>
      </w:r>
      <w:r w:rsidRPr="001C16DB">
        <w:rPr>
          <w:rFonts w:ascii="Century Gothic" w:eastAsia="Times New Roman" w:hAnsi="Century Gothic" w:cs="Arial"/>
          <w:b/>
          <w:kern w:val="0"/>
          <w:lang w:eastAsia="ar-SA"/>
        </w:rPr>
        <w:t xml:space="preserve">. </w:t>
      </w:r>
      <w:r w:rsidRPr="001C16DB">
        <w:rPr>
          <w:rFonts w:ascii="Century Gothic" w:eastAsia="Times New Roman" w:hAnsi="Century Gothic" w:cs="Arial"/>
          <w:bCs/>
          <w:kern w:val="0"/>
          <w:lang w:eastAsia="ar-SA"/>
        </w:rPr>
        <w:t>Si bien la Ley General de Responsabilidades Administrativas no prevé expresamente el efecto extensivo del recurso de apelación, el derecho administrativo sancionador participa de la naturaleza del derecho punitivo del Estado, por lo que es válido acudir de manera prudente a las técnicas garantistas del derecho penal, conforme a la jurisprudencia P./J. 99/2006 del Pleno de la Suprema Corte de Justicia de la Nación; entre tales técnicas se encuentra el principio recogido en el artículo 461, párrafo segundo, del Código Nacional de Procedimientos Penales, conforme al cual, si sólo uno de varios imputados interpone recurso contra una resolución, la decisión favorable que se dicte aprovechará a los demás, a menos que los fundamentos fueren exclusivamente personales del recurrente. En estas condiciones, cuando la revocación de la sentencia dictada en el procedimiento de responsabilidad administrativa se funda en motivos de carácter objetivo, como la inexistencia de la falta o del daño patrimonial, y no en circunstancias exclusivamente personales del apelante, los efectos absolutorios deben comprender también al presunto responsable que no recurrió; máxime cuando la condena a la indemnización recayó sobre un daño único e indivisible cuya falta de acreditación quedó establecida, ya que su subsistencia respecto de uno solo de los sentenciados produciría fallos contradictorios sobre unos mismos hechos, en detrimento de los principios de congruencia y seguridad jurídica.</w:t>
      </w:r>
    </w:p>
    <w:p w14:paraId="243C6119" w14:textId="77777777" w:rsidR="001C16DB" w:rsidRPr="001C16DB" w:rsidRDefault="001C16DB" w:rsidP="001C16DB">
      <w:pPr>
        <w:widowControl/>
        <w:ind w:left="-567" w:right="-233"/>
        <w:jc w:val="both"/>
        <w:rPr>
          <w:rFonts w:ascii="Century Gothic" w:eastAsia="Times New Roman" w:hAnsi="Century Gothic" w:cs="Arial"/>
          <w:b/>
          <w:kern w:val="0"/>
          <w:lang w:eastAsia="ar-SA"/>
        </w:rPr>
      </w:pPr>
    </w:p>
    <w:p w14:paraId="3B65C2D1" w14:textId="77777777" w:rsidR="001C16DB" w:rsidRPr="001C16DB" w:rsidRDefault="001C16DB" w:rsidP="001C16DB">
      <w:pPr>
        <w:widowControl/>
        <w:ind w:left="-567" w:right="-233"/>
        <w:jc w:val="both"/>
        <w:rPr>
          <w:rFonts w:ascii="Century Gothic" w:eastAsia="Times New Roman" w:hAnsi="Century Gothic" w:cs="Arial"/>
          <w:b/>
          <w:kern w:val="0"/>
          <w:lang w:eastAsia="ar-SA"/>
        </w:rPr>
      </w:pPr>
      <w:r w:rsidRPr="001C16DB">
        <w:rPr>
          <w:rFonts w:ascii="Century Gothic" w:eastAsia="Times New Roman" w:hAnsi="Century Gothic" w:cs="Arial"/>
          <w:b/>
          <w:bCs/>
          <w:kern w:val="0"/>
          <w:lang w:eastAsia="ar-SA"/>
        </w:rPr>
        <w:t>PRECEDENTE:</w:t>
      </w:r>
    </w:p>
    <w:p w14:paraId="49EF9162" w14:textId="77777777" w:rsidR="001C16DB" w:rsidRPr="001C16DB" w:rsidRDefault="001C16DB" w:rsidP="001C16DB">
      <w:pPr>
        <w:widowControl/>
        <w:ind w:left="-567" w:right="-233"/>
        <w:jc w:val="both"/>
        <w:rPr>
          <w:rFonts w:ascii="Century Gothic" w:eastAsia="Times New Roman" w:hAnsi="Century Gothic" w:cs="Arial"/>
          <w:bCs/>
          <w:kern w:val="0"/>
          <w:lang w:eastAsia="ar-SA"/>
        </w:rPr>
      </w:pPr>
      <w:r w:rsidRPr="001C16DB">
        <w:rPr>
          <w:rFonts w:ascii="Century Gothic" w:eastAsia="Times New Roman" w:hAnsi="Century Gothic" w:cs="Arial"/>
          <w:bCs/>
          <w:kern w:val="0"/>
          <w:lang w:eastAsia="ar-SA"/>
        </w:rPr>
        <w:t xml:space="preserve">Recurso de Apelación Núm. 23/2026 A-SEA. Resuelto por la Sala Superior del Tribunal de Justicia Administrativa del Estado de Jalisco, en sesión de 19 de agosto de 2026, por unanimidad de votos. Magistrado Ponente: José Ramón Jiménez Gutiérrez. Secretario: Eduardo </w:t>
      </w:r>
      <w:proofErr w:type="spellStart"/>
      <w:r w:rsidRPr="001C16DB">
        <w:rPr>
          <w:rFonts w:ascii="Century Gothic" w:eastAsia="Times New Roman" w:hAnsi="Century Gothic" w:cs="Arial"/>
          <w:bCs/>
          <w:kern w:val="0"/>
          <w:lang w:eastAsia="ar-SA"/>
        </w:rPr>
        <w:t>Rafols</w:t>
      </w:r>
      <w:proofErr w:type="spellEnd"/>
      <w:r w:rsidRPr="001C16DB">
        <w:rPr>
          <w:rFonts w:ascii="Century Gothic" w:eastAsia="Times New Roman" w:hAnsi="Century Gothic" w:cs="Arial"/>
          <w:bCs/>
          <w:kern w:val="0"/>
          <w:lang w:eastAsia="ar-SA"/>
        </w:rPr>
        <w:t xml:space="preserve"> Pérez.</w:t>
      </w:r>
    </w:p>
    <w:p w14:paraId="65EFE575" w14:textId="77777777" w:rsidR="005152A9" w:rsidRDefault="005152A9" w:rsidP="005809E1">
      <w:pPr>
        <w:widowControl/>
        <w:ind w:left="-567" w:right="-233"/>
        <w:jc w:val="both"/>
        <w:rPr>
          <w:rFonts w:ascii="Century Gothic" w:eastAsia="Times New Roman" w:hAnsi="Century Gothic"/>
          <w:b/>
          <w:bCs/>
          <w:kern w:val="0"/>
          <w:szCs w:val="18"/>
          <w:lang w:eastAsia="ar-SA"/>
        </w:rPr>
      </w:pPr>
    </w:p>
    <w:sectPr w:rsidR="005152A9" w:rsidSect="00206855">
      <w:pgSz w:w="12242" w:h="15842"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BCD"/>
    <w:rsid w:val="00004F68"/>
    <w:rsid w:val="000C6BCD"/>
    <w:rsid w:val="001C16DB"/>
    <w:rsid w:val="00206855"/>
    <w:rsid w:val="00330432"/>
    <w:rsid w:val="005152A9"/>
    <w:rsid w:val="00530C61"/>
    <w:rsid w:val="005809E1"/>
    <w:rsid w:val="005822F8"/>
    <w:rsid w:val="006D2F47"/>
    <w:rsid w:val="006D54F0"/>
    <w:rsid w:val="008C089D"/>
    <w:rsid w:val="00956A80"/>
    <w:rsid w:val="009808D4"/>
    <w:rsid w:val="00AB6268"/>
    <w:rsid w:val="00AD5253"/>
    <w:rsid w:val="00B35EFE"/>
    <w:rsid w:val="00B42772"/>
    <w:rsid w:val="00BB4CE0"/>
    <w:rsid w:val="00CF5C42"/>
    <w:rsid w:val="00DD6D34"/>
    <w:rsid w:val="00F052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468E"/>
  <w15:chartTrackingRefBased/>
  <w15:docId w15:val="{22FA6F05-2E86-4C3D-BCB0-5BD7538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BCD"/>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1745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Gaytan Padilla</dc:creator>
  <cp:keywords/>
  <dc:description/>
  <cp:lastModifiedBy>Rosalba Gaytan Padilla</cp:lastModifiedBy>
  <cp:revision>4</cp:revision>
  <cp:lastPrinted>2026-09-28T18:18:00Z</cp:lastPrinted>
  <dcterms:created xsi:type="dcterms:W3CDTF">2026-09-28T18:17:00Z</dcterms:created>
  <dcterms:modified xsi:type="dcterms:W3CDTF">2026-09-28T18:31:00Z</dcterms:modified>
</cp:coreProperties>
</file>