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B2E86F" w14:textId="77777777" w:rsidR="000C6BCD" w:rsidRPr="005F264E" w:rsidRDefault="000C6BCD" w:rsidP="009808D4">
      <w:pPr>
        <w:tabs>
          <w:tab w:val="left" w:pos="3038"/>
        </w:tabs>
        <w:ind w:left="-567" w:right="-799"/>
        <w:jc w:val="both"/>
        <w:rPr>
          <w:rFonts w:ascii="Century Gothic" w:eastAsia="Times New Roman" w:hAnsi="Century Gothic" w:cs="Arial"/>
          <w:b/>
          <w:kern w:val="0"/>
          <w:lang w:eastAsia="ar-SA"/>
        </w:rPr>
      </w:pPr>
      <w:r w:rsidRPr="005F264E">
        <w:rPr>
          <w:rFonts w:ascii="Century Gothic" w:eastAsia="Times New Roman" w:hAnsi="Century Gothic" w:cs="Arial"/>
          <w:b/>
          <w:lang w:eastAsia="ar-SA"/>
        </w:rPr>
        <w:t xml:space="preserve">SEGUNDA ÉPOCA </w:t>
      </w:r>
    </w:p>
    <w:p w14:paraId="678BAF08" w14:textId="70315E8D" w:rsidR="000C6BCD" w:rsidRPr="005F264E" w:rsidRDefault="000C6BCD" w:rsidP="009808D4">
      <w:pPr>
        <w:tabs>
          <w:tab w:val="left" w:pos="3038"/>
          <w:tab w:val="left" w:pos="6946"/>
        </w:tabs>
        <w:ind w:left="-567" w:right="-799"/>
        <w:jc w:val="both"/>
        <w:rPr>
          <w:rFonts w:ascii="Century Gothic" w:eastAsia="Times New Roman" w:hAnsi="Century Gothic"/>
          <w:sz w:val="22"/>
          <w:szCs w:val="22"/>
          <w:lang w:eastAsia="ar-SA"/>
        </w:rPr>
      </w:pPr>
      <w:r w:rsidRPr="005F264E">
        <w:rPr>
          <w:rFonts w:ascii="Century Gothic" w:eastAsia="Times New Roman" w:hAnsi="Century Gothic"/>
          <w:lang w:eastAsia="ar-SA"/>
        </w:rPr>
        <w:t xml:space="preserve">Número de Registro </w:t>
      </w:r>
      <w:r w:rsidR="00442170">
        <w:rPr>
          <w:rFonts w:ascii="Century Gothic" w:eastAsia="Times New Roman" w:hAnsi="Century Gothic"/>
          <w:lang w:eastAsia="ar-SA"/>
        </w:rPr>
        <w:t>7</w:t>
      </w:r>
      <w:r w:rsidRPr="005F264E">
        <w:rPr>
          <w:rFonts w:ascii="Century Gothic" w:eastAsia="Times New Roman" w:hAnsi="Century Gothic"/>
          <w:lang w:eastAsia="ar-SA"/>
        </w:rPr>
        <w:t>/1</w:t>
      </w:r>
      <w:r w:rsidR="006D54F0">
        <w:rPr>
          <w:rFonts w:ascii="Century Gothic" w:eastAsia="Times New Roman" w:hAnsi="Century Gothic"/>
          <w:lang w:eastAsia="ar-SA"/>
        </w:rPr>
        <w:t>6</w:t>
      </w:r>
      <w:r w:rsidRPr="005F264E">
        <w:rPr>
          <w:rFonts w:ascii="Century Gothic" w:eastAsia="Times New Roman" w:hAnsi="Century Gothic"/>
          <w:lang w:eastAsia="ar-SA"/>
        </w:rPr>
        <w:t>ORD/SS/JA</w:t>
      </w:r>
    </w:p>
    <w:p w14:paraId="74C6B566" w14:textId="1A8D0DCC" w:rsidR="000C6BCD" w:rsidRPr="005F264E" w:rsidRDefault="00206855" w:rsidP="009808D4">
      <w:pPr>
        <w:tabs>
          <w:tab w:val="left" w:pos="3038"/>
          <w:tab w:val="left" w:pos="6946"/>
        </w:tabs>
        <w:ind w:left="-567" w:right="-799"/>
        <w:jc w:val="both"/>
        <w:rPr>
          <w:rFonts w:ascii="Century Gothic" w:eastAsia="Times New Roman" w:hAnsi="Century Gothic"/>
          <w:lang w:eastAsia="ar-SA"/>
        </w:rPr>
      </w:pPr>
      <w:r>
        <w:rPr>
          <w:rFonts w:ascii="Century Gothic" w:eastAsia="Times New Roman" w:hAnsi="Century Gothic"/>
          <w:lang w:eastAsia="ar-SA"/>
        </w:rPr>
        <w:t>PRECEDENTE</w:t>
      </w:r>
    </w:p>
    <w:p w14:paraId="0629EEB0" w14:textId="77777777" w:rsidR="000C6BCD" w:rsidRPr="005F264E" w:rsidRDefault="000C6BCD" w:rsidP="009808D4">
      <w:pPr>
        <w:tabs>
          <w:tab w:val="left" w:pos="3038"/>
          <w:tab w:val="left" w:pos="6946"/>
        </w:tabs>
        <w:ind w:left="-567" w:right="-799"/>
        <w:jc w:val="both"/>
        <w:rPr>
          <w:rFonts w:ascii="Century Gothic" w:eastAsia="Times New Roman" w:hAnsi="Century Gothic"/>
          <w:lang w:eastAsia="ar-SA"/>
        </w:rPr>
      </w:pPr>
      <w:r w:rsidRPr="005F264E">
        <w:rPr>
          <w:rFonts w:ascii="Century Gothic" w:eastAsia="Times New Roman" w:hAnsi="Century Gothic"/>
          <w:lang w:eastAsia="ar-SA"/>
        </w:rPr>
        <w:t>Tomo I 2026</w:t>
      </w:r>
    </w:p>
    <w:p w14:paraId="6F1B711A" w14:textId="3DC1922B" w:rsidR="006D54F0" w:rsidRDefault="00206855" w:rsidP="00206855">
      <w:pPr>
        <w:tabs>
          <w:tab w:val="left" w:pos="3038"/>
        </w:tabs>
        <w:spacing w:line="360" w:lineRule="auto"/>
        <w:ind w:left="-567" w:right="50"/>
        <w:jc w:val="right"/>
        <w:rPr>
          <w:rFonts w:ascii="Century Gothic" w:hAnsi="Century Gothic"/>
          <w:b/>
        </w:rPr>
      </w:pPr>
      <w:r>
        <w:rPr>
          <w:rFonts w:ascii="Century Gothic" w:hAnsi="Century Gothic"/>
          <w:b/>
          <w:szCs w:val="18"/>
        </w:rPr>
        <w:tab/>
        <w:t xml:space="preserve">  </w:t>
      </w:r>
      <w:r w:rsidR="006D54F0" w:rsidRPr="004B4F4A">
        <w:rPr>
          <w:rFonts w:ascii="Century Gothic" w:hAnsi="Century Gothic"/>
          <w:b/>
          <w:szCs w:val="18"/>
        </w:rPr>
        <w:t xml:space="preserve">Materia: </w:t>
      </w:r>
      <w:r>
        <w:rPr>
          <w:rFonts w:ascii="Century Gothic" w:hAnsi="Century Gothic"/>
          <w:b/>
          <w:szCs w:val="18"/>
        </w:rPr>
        <w:t xml:space="preserve">Responsabilidad </w:t>
      </w:r>
      <w:r w:rsidR="006D54F0" w:rsidRPr="004B4F4A">
        <w:rPr>
          <w:rFonts w:ascii="Century Gothic" w:hAnsi="Century Gothic"/>
          <w:b/>
          <w:szCs w:val="18"/>
        </w:rPr>
        <w:t>Administrativa</w:t>
      </w:r>
    </w:p>
    <w:p w14:paraId="47C28F23" w14:textId="27A0930B" w:rsidR="006D54F0" w:rsidRDefault="006D54F0" w:rsidP="005809E1">
      <w:pPr>
        <w:widowControl/>
        <w:ind w:left="-567" w:right="-233"/>
        <w:jc w:val="both"/>
        <w:rPr>
          <w:rFonts w:ascii="Century Gothic" w:eastAsia="Times New Roman" w:hAnsi="Century Gothic"/>
          <w:b/>
          <w:bCs/>
          <w:kern w:val="0"/>
          <w:szCs w:val="18"/>
          <w:lang w:eastAsia="ar-SA"/>
        </w:rPr>
      </w:pPr>
    </w:p>
    <w:p w14:paraId="5635D081" w14:textId="77777777" w:rsidR="00C04F91" w:rsidRDefault="00C04F91" w:rsidP="005809E1">
      <w:pPr>
        <w:widowControl/>
        <w:ind w:left="-567" w:right="-233"/>
        <w:jc w:val="both"/>
        <w:rPr>
          <w:rFonts w:ascii="Century Gothic" w:eastAsia="Times New Roman" w:hAnsi="Century Gothic"/>
          <w:b/>
          <w:bCs/>
          <w:kern w:val="0"/>
          <w:szCs w:val="18"/>
          <w:lang w:eastAsia="ar-SA"/>
        </w:rPr>
      </w:pPr>
    </w:p>
    <w:p w14:paraId="617BA078" w14:textId="77777777" w:rsidR="00C04F91" w:rsidRPr="00C04F91" w:rsidRDefault="00C04F91" w:rsidP="00C04F91">
      <w:pPr>
        <w:widowControl/>
        <w:ind w:left="-567" w:right="-233"/>
        <w:jc w:val="both"/>
        <w:rPr>
          <w:rFonts w:ascii="Century Gothic" w:eastAsia="Times New Roman" w:hAnsi="Century Gothic" w:cs="Arial"/>
          <w:b/>
          <w:kern w:val="0"/>
          <w:lang w:eastAsia="ar-SA"/>
        </w:rPr>
      </w:pPr>
      <w:r w:rsidRPr="00C04F91">
        <w:rPr>
          <w:rFonts w:ascii="Century Gothic" w:eastAsia="Times New Roman" w:hAnsi="Century Gothic" w:cs="Arial"/>
          <w:b/>
          <w:bCs/>
          <w:kern w:val="0"/>
          <w:lang w:eastAsia="ar-SA"/>
        </w:rPr>
        <w:t>MEDIDAS DISCIPLINARIAS EN EL PROCEDIMIENTO DE RESPONSABILIDAD ADMINISTRATIVA, LA SALA SUPERIOR PUEDE AMONESTAR AL ABOGADO AUTORIZADO QUE EMPLEA EXPRESIONES OFENSIVAS EN SUS PROMOCIONES, CON FUNDAMENTO EN EL ARTÍCULO 10 DE LA LEY DE JUSTICIA ADMINISTRATIVA DEL ESTADO DE JALISCO</w:t>
      </w:r>
      <w:r w:rsidRPr="00C04F91">
        <w:rPr>
          <w:rFonts w:ascii="Century Gothic" w:eastAsia="Times New Roman" w:hAnsi="Century Gothic" w:cs="Arial"/>
          <w:b/>
          <w:kern w:val="0"/>
          <w:lang w:eastAsia="ar-SA"/>
        </w:rPr>
        <w:t xml:space="preserve">. </w:t>
      </w:r>
      <w:r w:rsidRPr="00C04F91">
        <w:rPr>
          <w:rFonts w:ascii="Century Gothic" w:eastAsia="Times New Roman" w:hAnsi="Century Gothic" w:cs="Arial"/>
          <w:bCs/>
          <w:kern w:val="0"/>
          <w:lang w:eastAsia="ar-SA"/>
        </w:rPr>
        <w:t>El artículo 10 de la Ley de Justicia Administrativa del Estado de Jalisco faculta a las Salas del Tribunal para hacer uso de medios de apremio y medidas disciplinarias, entre ellas la amonestación y la multa, a fin de hacer cumplir sus determinaciones y mantener el orden, cuya elección atiende a la gravedad de la falta observada; precepto que resulta aplicable al procedimiento de responsabilidad administrativa en términos del artículo 118 de la Ley General de Responsabilidades Administrativas, ya que ésta sólo regula los medios de apremio para el cumplimiento de las determinaciones de la autoridad y no las medidas disciplinarias. Por su parte, el derecho de defensa y la libertad de expresión amparan la crítica vehemente que las partes formulen a las resoluciones, por dura que resulte, pero no las expresiones que trascienden el ámbito de la crítica al acto para descalificar personalmente a los juzgadores o a los servidores públicos que intervinieron en el procedimiento, ya que el ejercicio de esa libertad conlleva deberes y responsabilidades, entre ellos el respeto a los derechos y a la reputación de los demás, conforme al artículo 13, numeral 2, de la Convención Americana sobre Derechos Humanos. En estas condiciones, la Sala Superior está facultada para imponer la amonestación, con apercibimiento de multa, al abogado autorizado autor y firmante de la promoción que contiene tales expresiones, con independencia del sentido del fallo, ya que la medida disciplina exclusivamente la forma de las promociones y no el mérito de la defensa.</w:t>
      </w:r>
    </w:p>
    <w:p w14:paraId="5EC8187F" w14:textId="77777777" w:rsidR="00C04F91" w:rsidRPr="00C04F91" w:rsidRDefault="00C04F91" w:rsidP="00C04F91">
      <w:pPr>
        <w:widowControl/>
        <w:ind w:left="-567" w:right="-233"/>
        <w:jc w:val="both"/>
        <w:rPr>
          <w:rFonts w:ascii="Century Gothic" w:eastAsia="Times New Roman" w:hAnsi="Century Gothic" w:cs="Arial"/>
          <w:b/>
          <w:kern w:val="0"/>
          <w:lang w:eastAsia="ar-SA"/>
        </w:rPr>
      </w:pPr>
    </w:p>
    <w:p w14:paraId="3D60B879" w14:textId="77777777" w:rsidR="00C04F91" w:rsidRPr="00C04F91" w:rsidRDefault="00C04F91" w:rsidP="00C04F91">
      <w:pPr>
        <w:widowControl/>
        <w:ind w:left="-567" w:right="-233"/>
        <w:jc w:val="both"/>
        <w:rPr>
          <w:rFonts w:ascii="Century Gothic" w:eastAsia="Times New Roman" w:hAnsi="Century Gothic" w:cs="Arial"/>
          <w:b/>
          <w:kern w:val="0"/>
          <w:lang w:eastAsia="ar-SA"/>
        </w:rPr>
      </w:pPr>
      <w:r w:rsidRPr="00C04F91">
        <w:rPr>
          <w:rFonts w:ascii="Century Gothic" w:eastAsia="Times New Roman" w:hAnsi="Century Gothic" w:cs="Arial"/>
          <w:b/>
          <w:bCs/>
          <w:kern w:val="0"/>
          <w:lang w:eastAsia="ar-SA"/>
        </w:rPr>
        <w:t>PRECEDENTE:</w:t>
      </w:r>
    </w:p>
    <w:p w14:paraId="4291C8DB" w14:textId="77777777" w:rsidR="00C04F91" w:rsidRPr="00C04F91" w:rsidRDefault="00C04F91" w:rsidP="00C04F91">
      <w:pPr>
        <w:widowControl/>
        <w:ind w:left="-567" w:right="-233"/>
        <w:jc w:val="both"/>
        <w:rPr>
          <w:rFonts w:ascii="Century Gothic" w:eastAsia="Times New Roman" w:hAnsi="Century Gothic" w:cs="Arial"/>
          <w:bCs/>
          <w:kern w:val="0"/>
          <w:lang w:eastAsia="ar-SA"/>
        </w:rPr>
      </w:pPr>
      <w:r w:rsidRPr="00C04F91">
        <w:rPr>
          <w:rFonts w:ascii="Century Gothic" w:eastAsia="Times New Roman" w:hAnsi="Century Gothic" w:cs="Arial"/>
          <w:bCs/>
          <w:kern w:val="0"/>
          <w:lang w:eastAsia="ar-SA"/>
        </w:rPr>
        <w:t xml:space="preserve">Recurso de Apelación Núm. 23/2026 A-SEA. Resuelto por la Sala Superior del Tribunal de Justicia Administrativa del Estado de Jalisco, en sesión de 19 de agosto de 2026, por unanimidad de votos. Magistrado Ponente: José Ramón Jiménez Gutiérrez. Secretario: Eduardo </w:t>
      </w:r>
      <w:proofErr w:type="spellStart"/>
      <w:r w:rsidRPr="00C04F91">
        <w:rPr>
          <w:rFonts w:ascii="Century Gothic" w:eastAsia="Times New Roman" w:hAnsi="Century Gothic" w:cs="Arial"/>
          <w:bCs/>
          <w:kern w:val="0"/>
          <w:lang w:eastAsia="ar-SA"/>
        </w:rPr>
        <w:t>Rafols</w:t>
      </w:r>
      <w:proofErr w:type="spellEnd"/>
      <w:r w:rsidRPr="00C04F91">
        <w:rPr>
          <w:rFonts w:ascii="Century Gothic" w:eastAsia="Times New Roman" w:hAnsi="Century Gothic" w:cs="Arial"/>
          <w:bCs/>
          <w:kern w:val="0"/>
          <w:lang w:eastAsia="ar-SA"/>
        </w:rPr>
        <w:t xml:space="preserve"> Pérez.</w:t>
      </w:r>
    </w:p>
    <w:p w14:paraId="3446499B" w14:textId="77777777" w:rsidR="001C16DB" w:rsidRDefault="001C16DB" w:rsidP="005809E1">
      <w:pPr>
        <w:widowControl/>
        <w:ind w:left="-567" w:right="-233"/>
        <w:jc w:val="both"/>
        <w:rPr>
          <w:rFonts w:ascii="Century Gothic" w:eastAsia="Times New Roman" w:hAnsi="Century Gothic"/>
          <w:b/>
          <w:bCs/>
          <w:kern w:val="0"/>
          <w:szCs w:val="18"/>
          <w:lang w:eastAsia="ar-SA"/>
        </w:rPr>
      </w:pPr>
    </w:p>
    <w:sectPr w:rsidR="001C16DB" w:rsidSect="00206855">
      <w:pgSz w:w="12242" w:h="15842" w:code="1"/>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BCD"/>
    <w:rsid w:val="00004F68"/>
    <w:rsid w:val="000C6BCD"/>
    <w:rsid w:val="001C16DB"/>
    <w:rsid w:val="00206855"/>
    <w:rsid w:val="00330432"/>
    <w:rsid w:val="00442170"/>
    <w:rsid w:val="005152A9"/>
    <w:rsid w:val="00530C61"/>
    <w:rsid w:val="005809E1"/>
    <w:rsid w:val="005822F8"/>
    <w:rsid w:val="006D2F47"/>
    <w:rsid w:val="006D54F0"/>
    <w:rsid w:val="00956A80"/>
    <w:rsid w:val="009808D4"/>
    <w:rsid w:val="00AB6268"/>
    <w:rsid w:val="00AD5253"/>
    <w:rsid w:val="00B35EFE"/>
    <w:rsid w:val="00B42772"/>
    <w:rsid w:val="00BB4CE0"/>
    <w:rsid w:val="00C04F91"/>
    <w:rsid w:val="00CF5C42"/>
    <w:rsid w:val="00DD6D34"/>
    <w:rsid w:val="00F0523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5468E"/>
  <w15:chartTrackingRefBased/>
  <w15:docId w15:val="{22FA6F05-2E86-4C3D-BCB0-5BD753883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6BCD"/>
    <w:pPr>
      <w:widowControl w:val="0"/>
      <w:suppressAutoHyphens/>
      <w:spacing w:after="0" w:line="240" w:lineRule="auto"/>
    </w:pPr>
    <w:rPr>
      <w:rFonts w:ascii="Times New Roman" w:eastAsia="Lucida Sans Unicode" w:hAnsi="Times New Roman" w:cs="Times New Roman"/>
      <w:kern w:val="1"/>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53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345</Words>
  <Characters>1899</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Rosalba Gaytan Padilla</dc:creator>
  <cp:keywords/>
  <dc:description/>
  <cp:lastModifiedBy>Rosalba Gaytan Padilla</cp:lastModifiedBy>
  <cp:revision>4</cp:revision>
  <cp:lastPrinted>2026-09-28T18:33:00Z</cp:lastPrinted>
  <dcterms:created xsi:type="dcterms:W3CDTF">2026-09-28T18:18:00Z</dcterms:created>
  <dcterms:modified xsi:type="dcterms:W3CDTF">2026-09-28T18:33:00Z</dcterms:modified>
</cp:coreProperties>
</file>